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A478" w14:textId="6924446E" w:rsidR="00583E87" w:rsidRDefault="00D60A3A" w:rsidP="00E9063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Limits to growth for n</w:t>
      </w:r>
      <w:r w:rsidR="00B83B54" w:rsidRPr="009F5875">
        <w:rPr>
          <w:rFonts w:ascii="Times New Roman" w:hAnsi="Times New Roman" w:cs="Times New Roman"/>
          <w:b/>
          <w:bCs/>
          <w:color w:val="333333"/>
          <w:sz w:val="32"/>
          <w:szCs w:val="32"/>
        </w:rPr>
        <w:t>on-</w:t>
      </w:r>
      <w:r w:rsidR="002F58B7">
        <w:rPr>
          <w:rFonts w:ascii="Times New Roman" w:hAnsi="Times New Roman" w:cs="Times New Roman"/>
          <w:b/>
          <w:bCs/>
          <w:color w:val="333333"/>
          <w:sz w:val="32"/>
          <w:szCs w:val="32"/>
        </w:rPr>
        <w:t>s</w:t>
      </w:r>
      <w:r w:rsidR="00B83B54" w:rsidRPr="009F5875">
        <w:rPr>
          <w:rFonts w:ascii="Times New Roman" w:hAnsi="Times New Roman" w:cs="Times New Roman"/>
          <w:b/>
          <w:bCs/>
          <w:color w:val="333333"/>
          <w:sz w:val="32"/>
          <w:szCs w:val="32"/>
        </w:rPr>
        <w:t>tate actors in education</w:t>
      </w:r>
      <w:r w:rsidR="005C23D1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521447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Reflections on the </w:t>
      </w:r>
      <w:r w:rsidR="00B83B54" w:rsidRPr="009F5875">
        <w:rPr>
          <w:rFonts w:ascii="Times New Roman" w:hAnsi="Times New Roman" w:cs="Times New Roman"/>
          <w:b/>
          <w:bCs/>
          <w:color w:val="333333"/>
          <w:sz w:val="32"/>
          <w:szCs w:val="32"/>
        </w:rPr>
        <w:t>Global Education Monitoring Report</w:t>
      </w:r>
      <w:r w:rsidR="00497E1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20</w:t>
      </w:r>
      <w:r w:rsidR="00C00230">
        <w:rPr>
          <w:rFonts w:ascii="Times New Roman" w:hAnsi="Times New Roman" w:cs="Times New Roman"/>
          <w:b/>
          <w:bCs/>
          <w:color w:val="333333"/>
          <w:sz w:val="32"/>
          <w:szCs w:val="32"/>
        </w:rPr>
        <w:t>21/</w:t>
      </w:r>
      <w:r w:rsidR="00497E1A">
        <w:rPr>
          <w:rFonts w:ascii="Times New Roman" w:hAnsi="Times New Roman" w:cs="Times New Roman"/>
          <w:b/>
          <w:bCs/>
          <w:color w:val="333333"/>
          <w:sz w:val="32"/>
          <w:szCs w:val="32"/>
        </w:rPr>
        <w:t>22</w:t>
      </w:r>
    </w:p>
    <w:p w14:paraId="78DC35CF" w14:textId="77777777" w:rsidR="00E90635" w:rsidRDefault="00E90635" w:rsidP="00E9063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14:paraId="5B47EAF8" w14:textId="6C3CBEBD" w:rsidR="00B83B54" w:rsidRPr="001F331B" w:rsidRDefault="00FD64CA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2F58B7">
        <w:rPr>
          <w:rStyle w:val="Emphasis"/>
          <w:rFonts w:ascii="Times New Roman" w:hAnsi="Times New Roman" w:cs="Times New Roman"/>
        </w:rPr>
        <w:t xml:space="preserve">This blog was written by </w:t>
      </w:r>
      <w:hyperlink r:id="rId7" w:history="1">
        <w:r w:rsidRPr="002F58B7">
          <w:rPr>
            <w:rStyle w:val="Emphasis"/>
            <w:rFonts w:ascii="Times New Roman" w:hAnsi="Times New Roman" w:cs="Times New Roman"/>
            <w:color w:val="0000FF"/>
            <w:u w:val="single"/>
          </w:rPr>
          <w:t>Keith Lewin</w:t>
        </w:r>
      </w:hyperlink>
      <w:r w:rsidRPr="002F58B7">
        <w:rPr>
          <w:rStyle w:val="Emphasis"/>
          <w:rFonts w:ascii="Times New Roman" w:hAnsi="Times New Roman" w:cs="Times New Roman"/>
        </w:rPr>
        <w:t>, Emeritus Professor of International Development and Education at the University of Sussex, and Chair of the UKFIET Trustees</w:t>
      </w:r>
      <w:r w:rsidR="008B7759">
        <w:rPr>
          <w:rStyle w:val="Emphasis"/>
          <w:rFonts w:ascii="Times New Roman" w:hAnsi="Times New Roman" w:cs="Times New Roman"/>
        </w:rPr>
        <w:t xml:space="preserve"> (2017-2020)</w:t>
      </w:r>
      <w:r w:rsidRPr="002F58B7">
        <w:rPr>
          <w:rStyle w:val="Emphasis"/>
          <w:rFonts w:ascii="Times New Roman" w:hAnsi="Times New Roman" w:cs="Times New Roman"/>
        </w:rPr>
        <w:t>.</w:t>
      </w:r>
    </w:p>
    <w:p w14:paraId="710E2241" w14:textId="77777777" w:rsidR="00B83B54" w:rsidRDefault="00B83B54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1E5F42F4" w14:textId="3AE517ED" w:rsidR="00CD7008" w:rsidRDefault="00A4495D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noProof/>
        </w:rPr>
        <w:drawing>
          <wp:inline distT="0" distB="0" distL="0" distR="0" wp14:anchorId="28E804EC" wp14:editId="6B927989">
            <wp:extent cx="5727700" cy="3821430"/>
            <wp:effectExtent l="0" t="0" r="6350" b="7620"/>
            <wp:docPr id="2" name="Picture 2" descr="A picture containing outdoor, person, sky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person, sky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A0C7" w14:textId="4DD892FA" w:rsidR="009758A4" w:rsidRPr="00B93F74" w:rsidRDefault="009758A4" w:rsidP="00B83B54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333333"/>
        </w:rPr>
      </w:pPr>
      <w:r w:rsidRPr="00B93F74">
        <w:rPr>
          <w:rFonts w:ascii="Times New Roman" w:hAnsi="Times New Roman" w:cs="Times New Roman"/>
          <w:i/>
          <w:iCs/>
          <w:color w:val="333333"/>
        </w:rPr>
        <w:t xml:space="preserve">Photo Credit: </w:t>
      </w:r>
      <w:r w:rsidR="000F1D75">
        <w:rPr>
          <w:rFonts w:ascii="Times New Roman" w:hAnsi="Times New Roman" w:cs="Times New Roman"/>
          <w:i/>
          <w:iCs/>
          <w:color w:val="333333"/>
        </w:rPr>
        <w:t>Vicki Francis</w:t>
      </w:r>
      <w:r w:rsidR="00957C0F" w:rsidRPr="00B93F74">
        <w:rPr>
          <w:rFonts w:ascii="Times New Roman" w:hAnsi="Times New Roman" w:cs="Times New Roman"/>
          <w:i/>
          <w:iCs/>
          <w:color w:val="333333"/>
        </w:rPr>
        <w:t>/Department for International Development</w:t>
      </w:r>
    </w:p>
    <w:p w14:paraId="7800C059" w14:textId="25ADAC19" w:rsidR="00957C0F" w:rsidRPr="00B93F74" w:rsidRDefault="00957C0F" w:rsidP="00B83B54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333333"/>
        </w:rPr>
      </w:pPr>
      <w:r w:rsidRPr="00B93F74">
        <w:rPr>
          <w:rFonts w:ascii="Times New Roman" w:hAnsi="Times New Roman" w:cs="Times New Roman"/>
          <w:i/>
          <w:iCs/>
          <w:color w:val="333333"/>
        </w:rPr>
        <w:t xml:space="preserve">Alt text: </w:t>
      </w:r>
      <w:r w:rsidR="00B93F74">
        <w:rPr>
          <w:rFonts w:ascii="Times New Roman" w:hAnsi="Times New Roman" w:cs="Times New Roman"/>
          <w:i/>
          <w:iCs/>
          <w:color w:val="333333"/>
        </w:rPr>
        <w:t xml:space="preserve">Children leaving a </w:t>
      </w:r>
      <w:proofErr w:type="gramStart"/>
      <w:r w:rsidR="00B93F74">
        <w:rPr>
          <w:rFonts w:ascii="Times New Roman" w:hAnsi="Times New Roman" w:cs="Times New Roman"/>
          <w:i/>
          <w:iCs/>
          <w:color w:val="333333"/>
        </w:rPr>
        <w:t>newly-built</w:t>
      </w:r>
      <w:proofErr w:type="gramEnd"/>
      <w:r w:rsidR="00B93F74">
        <w:rPr>
          <w:rFonts w:ascii="Times New Roman" w:hAnsi="Times New Roman" w:cs="Times New Roman"/>
          <w:i/>
          <w:iCs/>
          <w:color w:val="333333"/>
        </w:rPr>
        <w:t xml:space="preserve"> school, Pakistan</w:t>
      </w:r>
    </w:p>
    <w:p w14:paraId="3C9E83F4" w14:textId="77777777" w:rsidR="00957C0F" w:rsidRPr="008C6870" w:rsidRDefault="00957C0F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4645029C" w14:textId="3DB6CF7B" w:rsidR="00C44C4A" w:rsidRPr="008C6870" w:rsidRDefault="00B83B54" w:rsidP="00FF4C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FF4C54">
        <w:rPr>
          <w:rFonts w:ascii="Times New Roman" w:hAnsi="Times New Roman" w:cs="Times New Roman"/>
          <w:color w:val="333333"/>
        </w:rPr>
        <w:t>Th</w:t>
      </w:r>
      <w:r w:rsidR="00961B04">
        <w:rPr>
          <w:rFonts w:ascii="Times New Roman" w:hAnsi="Times New Roman" w:cs="Times New Roman"/>
          <w:color w:val="333333"/>
        </w:rPr>
        <w:t xml:space="preserve">e latest </w:t>
      </w:r>
      <w:hyperlink r:id="rId9" w:history="1">
        <w:r w:rsidR="002D0AF6" w:rsidRPr="002D0AF6">
          <w:rPr>
            <w:rStyle w:val="Hyperlink"/>
            <w:rFonts w:ascii="Times New Roman" w:hAnsi="Times New Roman" w:cs="Times New Roman"/>
          </w:rPr>
          <w:t xml:space="preserve">2021/22 </w:t>
        </w:r>
        <w:r w:rsidR="00961B04" w:rsidRPr="002D0AF6">
          <w:rPr>
            <w:rStyle w:val="Hyperlink"/>
            <w:rFonts w:ascii="Times New Roman" w:hAnsi="Times New Roman" w:cs="Times New Roman"/>
          </w:rPr>
          <w:t>G</w:t>
        </w:r>
        <w:r w:rsidR="00CF4C66" w:rsidRPr="002D0AF6">
          <w:rPr>
            <w:rStyle w:val="Hyperlink"/>
            <w:rFonts w:ascii="Times New Roman" w:hAnsi="Times New Roman" w:cs="Times New Roman"/>
          </w:rPr>
          <w:t xml:space="preserve">lobal Education Monitoring </w:t>
        </w:r>
        <w:r w:rsidR="002D0AF6" w:rsidRPr="002D0AF6">
          <w:rPr>
            <w:rStyle w:val="Hyperlink"/>
            <w:rFonts w:ascii="Times New Roman" w:hAnsi="Times New Roman" w:cs="Times New Roman"/>
          </w:rPr>
          <w:t xml:space="preserve">(GEM) </w:t>
        </w:r>
        <w:r w:rsidR="00CF4C66" w:rsidRPr="002D0AF6">
          <w:rPr>
            <w:rStyle w:val="Hyperlink"/>
            <w:rFonts w:ascii="Times New Roman" w:hAnsi="Times New Roman" w:cs="Times New Roman"/>
          </w:rPr>
          <w:t>Report</w:t>
        </w:r>
      </w:hyperlink>
      <w:r w:rsidR="00961B04">
        <w:rPr>
          <w:rFonts w:ascii="Times New Roman" w:hAnsi="Times New Roman" w:cs="Times New Roman"/>
          <w:color w:val="333333"/>
        </w:rPr>
        <w:t xml:space="preserve"> </w:t>
      </w:r>
      <w:r w:rsidR="005859F9" w:rsidRPr="00FF4C54">
        <w:rPr>
          <w:rFonts w:ascii="Times New Roman" w:hAnsi="Times New Roman" w:cs="Times New Roman"/>
          <w:color w:val="333333"/>
        </w:rPr>
        <w:t>is a must</w:t>
      </w:r>
      <w:r w:rsidR="00C9584D">
        <w:rPr>
          <w:rFonts w:ascii="Times New Roman" w:hAnsi="Times New Roman" w:cs="Times New Roman"/>
          <w:color w:val="333333"/>
        </w:rPr>
        <w:t>-</w:t>
      </w:r>
      <w:r w:rsidR="005859F9" w:rsidRPr="00FF4C54">
        <w:rPr>
          <w:rFonts w:ascii="Times New Roman" w:hAnsi="Times New Roman" w:cs="Times New Roman"/>
          <w:color w:val="333333"/>
        </w:rPr>
        <w:t xml:space="preserve">read for those with an interest in sustainable education and development. It brings together in one place a thoughtful, </w:t>
      </w:r>
      <w:proofErr w:type="gramStart"/>
      <w:r w:rsidR="005859F9" w:rsidRPr="00FF4C54">
        <w:rPr>
          <w:rFonts w:ascii="Times New Roman" w:hAnsi="Times New Roman" w:cs="Times New Roman"/>
          <w:color w:val="333333"/>
        </w:rPr>
        <w:t>comprehensive</w:t>
      </w:r>
      <w:proofErr w:type="gramEnd"/>
      <w:r w:rsidR="005859F9" w:rsidRPr="00FF4C54">
        <w:rPr>
          <w:rFonts w:ascii="Times New Roman" w:hAnsi="Times New Roman" w:cs="Times New Roman"/>
          <w:color w:val="333333"/>
        </w:rPr>
        <w:t xml:space="preserve"> and critical collection of insights into how education systems have been evolving</w:t>
      </w:r>
      <w:r w:rsidR="00EB343C" w:rsidRPr="00FF4C54">
        <w:rPr>
          <w:rFonts w:ascii="Times New Roman" w:hAnsi="Times New Roman" w:cs="Times New Roman"/>
          <w:color w:val="333333"/>
        </w:rPr>
        <w:t xml:space="preserve"> with respect to Non</w:t>
      </w:r>
      <w:r w:rsidR="001F769D">
        <w:rPr>
          <w:rFonts w:ascii="Times New Roman" w:hAnsi="Times New Roman" w:cs="Times New Roman"/>
          <w:color w:val="333333"/>
        </w:rPr>
        <w:t>-</w:t>
      </w:r>
      <w:r w:rsidR="00EB343C" w:rsidRPr="00FF4C54">
        <w:rPr>
          <w:rFonts w:ascii="Times New Roman" w:hAnsi="Times New Roman" w:cs="Times New Roman"/>
          <w:color w:val="333333"/>
        </w:rPr>
        <w:t>State Providers (NSPs)</w:t>
      </w:r>
      <w:r w:rsidR="00D13753" w:rsidRPr="00FF4C54">
        <w:rPr>
          <w:rFonts w:ascii="Times New Roman" w:hAnsi="Times New Roman" w:cs="Times New Roman"/>
          <w:color w:val="333333"/>
        </w:rPr>
        <w:t>.</w:t>
      </w:r>
      <w:r w:rsidR="00FF4C54" w:rsidRPr="00FF4C54">
        <w:rPr>
          <w:rFonts w:ascii="Georgia" w:hAnsi="Georgia"/>
          <w:i/>
          <w:iCs/>
          <w:color w:val="333333"/>
        </w:rPr>
        <w:t xml:space="preserve"> </w:t>
      </w:r>
      <w:r w:rsidR="00C44C4A" w:rsidRPr="008C6870">
        <w:rPr>
          <w:rFonts w:ascii="Times New Roman" w:hAnsi="Times New Roman" w:cs="Times New Roman"/>
          <w:color w:val="333333"/>
        </w:rPr>
        <w:t>It identifies “10 myths”</w:t>
      </w:r>
      <w:r w:rsidR="009F5875">
        <w:rPr>
          <w:rFonts w:ascii="Times New Roman" w:hAnsi="Times New Roman" w:cs="Times New Roman"/>
          <w:color w:val="333333"/>
        </w:rPr>
        <w:t>,</w:t>
      </w:r>
      <w:r w:rsidR="00C44C4A" w:rsidRPr="008C6870">
        <w:rPr>
          <w:rFonts w:ascii="Times New Roman" w:hAnsi="Times New Roman" w:cs="Times New Roman"/>
          <w:color w:val="333333"/>
        </w:rPr>
        <w:t xml:space="preserve"> all of which bear close examination in relation to the belief systems and evidence that surround how education systems and learning are owned, </w:t>
      </w:r>
      <w:proofErr w:type="gramStart"/>
      <w:r w:rsidR="00C44C4A" w:rsidRPr="008C6870">
        <w:rPr>
          <w:rFonts w:ascii="Times New Roman" w:hAnsi="Times New Roman" w:cs="Times New Roman"/>
          <w:color w:val="333333"/>
        </w:rPr>
        <w:t>managed</w:t>
      </w:r>
      <w:proofErr w:type="gramEnd"/>
      <w:r w:rsidR="00C44C4A" w:rsidRPr="008C6870">
        <w:rPr>
          <w:rFonts w:ascii="Times New Roman" w:hAnsi="Times New Roman" w:cs="Times New Roman"/>
          <w:color w:val="333333"/>
        </w:rPr>
        <w:t xml:space="preserve"> and financed. </w:t>
      </w:r>
    </w:p>
    <w:p w14:paraId="60820332" w14:textId="77777777" w:rsidR="00C44C4A" w:rsidRPr="008C6870" w:rsidRDefault="00C44C4A" w:rsidP="00C44C4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76C17DE9" w14:textId="475689FC" w:rsidR="00D140A5" w:rsidRPr="008C6870" w:rsidRDefault="00C44C4A" w:rsidP="00C44C4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>In the early 2000s</w:t>
      </w:r>
      <w:r w:rsidR="002123B3">
        <w:rPr>
          <w:rFonts w:ascii="Times New Roman" w:hAnsi="Times New Roman" w:cs="Times New Roman"/>
          <w:color w:val="333333"/>
        </w:rPr>
        <w:t>,</w:t>
      </w:r>
      <w:r w:rsidRPr="008C6870">
        <w:rPr>
          <w:rFonts w:ascii="Times New Roman" w:hAnsi="Times New Roman" w:cs="Times New Roman"/>
          <w:color w:val="333333"/>
        </w:rPr>
        <w:t xml:space="preserve"> a growing body of literature created an echo chamber of expectations that low</w:t>
      </w:r>
      <w:r w:rsidR="002123B3">
        <w:rPr>
          <w:rFonts w:ascii="Times New Roman" w:hAnsi="Times New Roman" w:cs="Times New Roman"/>
          <w:color w:val="333333"/>
        </w:rPr>
        <w:t>-</w:t>
      </w:r>
      <w:r w:rsidRPr="008C6870">
        <w:rPr>
          <w:rFonts w:ascii="Times New Roman" w:hAnsi="Times New Roman" w:cs="Times New Roman"/>
          <w:color w:val="333333"/>
        </w:rPr>
        <w:t>price private schools w</w:t>
      </w:r>
      <w:r w:rsidR="00C8746F">
        <w:rPr>
          <w:rFonts w:ascii="Times New Roman" w:hAnsi="Times New Roman" w:cs="Times New Roman"/>
          <w:color w:val="333333"/>
        </w:rPr>
        <w:t>ould</w:t>
      </w:r>
      <w:r w:rsidRPr="008C6870">
        <w:rPr>
          <w:rFonts w:ascii="Times New Roman" w:hAnsi="Times New Roman" w:cs="Times New Roman"/>
          <w:color w:val="333333"/>
        </w:rPr>
        <w:t xml:space="preserve"> </w:t>
      </w:r>
      <w:r w:rsidR="00332F04">
        <w:rPr>
          <w:rFonts w:ascii="Times New Roman" w:hAnsi="Times New Roman" w:cs="Times New Roman"/>
          <w:color w:val="333333"/>
        </w:rPr>
        <w:t xml:space="preserve">be </w:t>
      </w:r>
      <w:r w:rsidRPr="008C6870">
        <w:rPr>
          <w:rFonts w:ascii="Times New Roman" w:hAnsi="Times New Roman" w:cs="Times New Roman"/>
          <w:color w:val="333333"/>
        </w:rPr>
        <w:t>mushrooming across the</w:t>
      </w:r>
      <w:r w:rsidR="00C8746F">
        <w:rPr>
          <w:rFonts w:ascii="Times New Roman" w:hAnsi="Times New Roman" w:cs="Times New Roman"/>
          <w:color w:val="333333"/>
        </w:rPr>
        <w:t xml:space="preserve"> </w:t>
      </w:r>
      <w:r w:rsidRPr="008C6870">
        <w:rPr>
          <w:rFonts w:ascii="Times New Roman" w:hAnsi="Times New Roman" w:cs="Times New Roman"/>
          <w:color w:val="333333"/>
        </w:rPr>
        <w:t xml:space="preserve">developing world. Hyperbole was </w:t>
      </w:r>
      <w:r w:rsidR="00D140A5" w:rsidRPr="008C6870">
        <w:rPr>
          <w:rFonts w:ascii="Times New Roman" w:hAnsi="Times New Roman" w:cs="Times New Roman"/>
          <w:color w:val="333333"/>
        </w:rPr>
        <w:t xml:space="preserve">used </w:t>
      </w:r>
      <w:r w:rsidRPr="008C6870">
        <w:rPr>
          <w:rFonts w:ascii="Times New Roman" w:hAnsi="Times New Roman" w:cs="Times New Roman"/>
          <w:color w:val="333333"/>
        </w:rPr>
        <w:t>to assert that public schools would wither away as low</w:t>
      </w:r>
      <w:r w:rsidR="0091547D">
        <w:rPr>
          <w:rFonts w:ascii="Times New Roman" w:hAnsi="Times New Roman" w:cs="Times New Roman"/>
          <w:color w:val="333333"/>
        </w:rPr>
        <w:t>-</w:t>
      </w:r>
      <w:r w:rsidRPr="008C6870">
        <w:rPr>
          <w:rFonts w:ascii="Times New Roman" w:hAnsi="Times New Roman" w:cs="Times New Roman"/>
          <w:color w:val="333333"/>
        </w:rPr>
        <w:t>cost private schools displaced failing public systems</w:t>
      </w:r>
      <w:r w:rsidR="008D42A6">
        <w:rPr>
          <w:rFonts w:ascii="Times New Roman" w:hAnsi="Times New Roman" w:cs="Times New Roman"/>
          <w:color w:val="333333"/>
        </w:rPr>
        <w:t>,</w:t>
      </w:r>
      <w:r w:rsidRPr="008C6870">
        <w:rPr>
          <w:rFonts w:ascii="Times New Roman" w:hAnsi="Times New Roman" w:cs="Times New Roman"/>
          <w:color w:val="333333"/>
        </w:rPr>
        <w:t xml:space="preserve"> and neoliberal market theory</w:t>
      </w:r>
      <w:r w:rsidR="00882FA2">
        <w:rPr>
          <w:rFonts w:ascii="Times New Roman" w:hAnsi="Times New Roman" w:cs="Times New Roman"/>
          <w:color w:val="333333"/>
        </w:rPr>
        <w:t xml:space="preserve"> </w:t>
      </w:r>
      <w:r w:rsidR="00D140A5" w:rsidRPr="008C6870">
        <w:rPr>
          <w:rFonts w:ascii="Times New Roman" w:hAnsi="Times New Roman" w:cs="Times New Roman"/>
          <w:color w:val="333333"/>
        </w:rPr>
        <w:t>demonstrated</w:t>
      </w:r>
      <w:r w:rsidR="00882FA2">
        <w:rPr>
          <w:rFonts w:ascii="Times New Roman" w:hAnsi="Times New Roman" w:cs="Times New Roman"/>
          <w:color w:val="333333"/>
        </w:rPr>
        <w:t xml:space="preserve"> triumphantly</w:t>
      </w:r>
      <w:r w:rsidR="00D140A5" w:rsidRPr="008C6870">
        <w:rPr>
          <w:rFonts w:ascii="Times New Roman" w:hAnsi="Times New Roman" w:cs="Times New Roman"/>
          <w:color w:val="333333"/>
        </w:rPr>
        <w:t xml:space="preserve"> that all that was necessary was to</w:t>
      </w:r>
      <w:r w:rsidR="009F5875">
        <w:rPr>
          <w:rFonts w:ascii="Times New Roman" w:hAnsi="Times New Roman" w:cs="Times New Roman"/>
          <w:color w:val="333333"/>
        </w:rPr>
        <w:t xml:space="preserve"> </w:t>
      </w:r>
      <w:r w:rsidR="00CF2A10">
        <w:rPr>
          <w:rFonts w:ascii="Times New Roman" w:hAnsi="Times New Roman" w:cs="Times New Roman"/>
          <w:color w:val="333333"/>
        </w:rPr>
        <w:t>‘</w:t>
      </w:r>
      <w:r w:rsidR="00D140A5" w:rsidRPr="008C6870">
        <w:rPr>
          <w:rFonts w:ascii="Times New Roman" w:hAnsi="Times New Roman" w:cs="Times New Roman"/>
          <w:color w:val="333333"/>
        </w:rPr>
        <w:t>get the prices right</w:t>
      </w:r>
      <w:r w:rsidR="00A356E7">
        <w:rPr>
          <w:rFonts w:ascii="Times New Roman" w:hAnsi="Times New Roman" w:cs="Times New Roman"/>
          <w:color w:val="333333"/>
        </w:rPr>
        <w:t>’</w:t>
      </w:r>
      <w:r w:rsidR="00D140A5" w:rsidRPr="008C6870">
        <w:rPr>
          <w:rFonts w:ascii="Times New Roman" w:hAnsi="Times New Roman" w:cs="Times New Roman"/>
          <w:color w:val="333333"/>
        </w:rPr>
        <w:t>.</w:t>
      </w:r>
    </w:p>
    <w:p w14:paraId="7808514C" w14:textId="77777777" w:rsidR="00D140A5" w:rsidRPr="008C6870" w:rsidRDefault="00D140A5" w:rsidP="00C44C4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 xml:space="preserve"> </w:t>
      </w:r>
    </w:p>
    <w:p w14:paraId="7223C1F9" w14:textId="4AE864BD" w:rsidR="00F86709" w:rsidRDefault="00C5793B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>In 2007</w:t>
      </w:r>
      <w:r w:rsidR="00A356E7">
        <w:rPr>
          <w:rFonts w:ascii="Times New Roman" w:hAnsi="Times New Roman" w:cs="Times New Roman"/>
          <w:color w:val="333333"/>
        </w:rPr>
        <w:t>,</w:t>
      </w:r>
      <w:r w:rsidRPr="008C6870">
        <w:rPr>
          <w:rFonts w:ascii="Times New Roman" w:hAnsi="Times New Roman" w:cs="Times New Roman"/>
          <w:color w:val="333333"/>
        </w:rPr>
        <w:t xml:space="preserve"> I argued that there were </w:t>
      </w:r>
      <w:hyperlink r:id="rId10" w:history="1">
        <w:r w:rsidRPr="004E35A8">
          <w:rPr>
            <w:rStyle w:val="Hyperlink"/>
            <w:rFonts w:ascii="Times New Roman" w:hAnsi="Times New Roman" w:cs="Times New Roman"/>
          </w:rPr>
          <w:t>l</w:t>
        </w:r>
        <w:r w:rsidR="005732E5" w:rsidRPr="004E35A8">
          <w:rPr>
            <w:rStyle w:val="Hyperlink"/>
            <w:rFonts w:ascii="Times New Roman" w:hAnsi="Times New Roman" w:cs="Times New Roman"/>
          </w:rPr>
          <w:t xml:space="preserve">imits to </w:t>
        </w:r>
        <w:r w:rsidRPr="004E35A8">
          <w:rPr>
            <w:rStyle w:val="Hyperlink"/>
            <w:rFonts w:ascii="Times New Roman" w:hAnsi="Times New Roman" w:cs="Times New Roman"/>
          </w:rPr>
          <w:t>g</w:t>
        </w:r>
        <w:r w:rsidR="005732E5" w:rsidRPr="004E35A8">
          <w:rPr>
            <w:rStyle w:val="Hyperlink"/>
            <w:rFonts w:ascii="Times New Roman" w:hAnsi="Times New Roman" w:cs="Times New Roman"/>
          </w:rPr>
          <w:t xml:space="preserve">rowth of </w:t>
        </w:r>
        <w:r w:rsidRPr="004E35A8">
          <w:rPr>
            <w:rStyle w:val="Hyperlink"/>
            <w:rFonts w:ascii="Times New Roman" w:hAnsi="Times New Roman" w:cs="Times New Roman"/>
          </w:rPr>
          <w:t>n</w:t>
        </w:r>
        <w:r w:rsidR="005732E5" w:rsidRPr="004E35A8">
          <w:rPr>
            <w:rStyle w:val="Hyperlink"/>
            <w:rFonts w:ascii="Times New Roman" w:hAnsi="Times New Roman" w:cs="Times New Roman"/>
          </w:rPr>
          <w:t>on-</w:t>
        </w:r>
        <w:r w:rsidRPr="004E35A8">
          <w:rPr>
            <w:rStyle w:val="Hyperlink"/>
            <w:rFonts w:ascii="Times New Roman" w:hAnsi="Times New Roman" w:cs="Times New Roman"/>
          </w:rPr>
          <w:t>g</w:t>
        </w:r>
        <w:r w:rsidR="005732E5" w:rsidRPr="004E35A8">
          <w:rPr>
            <w:rStyle w:val="Hyperlink"/>
            <w:rFonts w:ascii="Times New Roman" w:hAnsi="Times New Roman" w:cs="Times New Roman"/>
          </w:rPr>
          <w:t>overnment schooling</w:t>
        </w:r>
      </w:hyperlink>
      <w:r w:rsidR="005732E5" w:rsidRPr="008C6870">
        <w:rPr>
          <w:rFonts w:ascii="Times New Roman" w:hAnsi="Times New Roman" w:cs="Times New Roman"/>
          <w:color w:val="333333"/>
        </w:rPr>
        <w:t xml:space="preserve"> </w:t>
      </w:r>
      <w:r w:rsidR="00F12452">
        <w:rPr>
          <w:rFonts w:ascii="Times New Roman" w:hAnsi="Times New Roman" w:cs="Times New Roman"/>
          <w:color w:val="333333"/>
        </w:rPr>
        <w:t xml:space="preserve">that addressed the needs of poorer households unless it </w:t>
      </w:r>
      <w:r w:rsidR="00CF6411">
        <w:rPr>
          <w:rFonts w:ascii="Times New Roman" w:hAnsi="Times New Roman" w:cs="Times New Roman"/>
          <w:color w:val="333333"/>
        </w:rPr>
        <w:t xml:space="preserve">was publicly financed. </w:t>
      </w:r>
      <w:r w:rsidR="00580D03">
        <w:rPr>
          <w:rFonts w:ascii="Times New Roman" w:hAnsi="Times New Roman" w:cs="Times New Roman"/>
          <w:color w:val="333333"/>
        </w:rPr>
        <w:t xml:space="preserve">I </w:t>
      </w:r>
      <w:hyperlink r:id="rId11" w:history="1">
        <w:r w:rsidR="00580D03" w:rsidRPr="00254E03">
          <w:rPr>
            <w:rStyle w:val="Hyperlink"/>
            <w:rFonts w:ascii="Times New Roman" w:hAnsi="Times New Roman" w:cs="Times New Roman"/>
          </w:rPr>
          <w:t xml:space="preserve">engaged in </w:t>
        </w:r>
        <w:r w:rsidRPr="00254E03">
          <w:rPr>
            <w:rStyle w:val="Hyperlink"/>
            <w:rFonts w:ascii="Times New Roman" w:hAnsi="Times New Roman" w:cs="Times New Roman"/>
          </w:rPr>
          <w:t>several debates</w:t>
        </w:r>
      </w:hyperlink>
      <w:r w:rsidRPr="008C6870">
        <w:rPr>
          <w:rFonts w:ascii="Times New Roman" w:hAnsi="Times New Roman" w:cs="Times New Roman"/>
          <w:color w:val="333333"/>
        </w:rPr>
        <w:t xml:space="preserve"> with those who saw no encumbrance to growth</w:t>
      </w:r>
      <w:r w:rsidR="00F12452">
        <w:rPr>
          <w:rFonts w:ascii="Times New Roman" w:hAnsi="Times New Roman" w:cs="Times New Roman"/>
          <w:color w:val="333333"/>
        </w:rPr>
        <w:t xml:space="preserve"> and argued that low price private schools would displace </w:t>
      </w:r>
      <w:r w:rsidR="00E87DB5">
        <w:rPr>
          <w:rFonts w:ascii="Times New Roman" w:hAnsi="Times New Roman" w:cs="Times New Roman"/>
          <w:color w:val="333333"/>
        </w:rPr>
        <w:t>public systems</w:t>
      </w:r>
      <w:r w:rsidR="00CE415B">
        <w:rPr>
          <w:rFonts w:ascii="Times New Roman" w:hAnsi="Times New Roman" w:cs="Times New Roman"/>
          <w:color w:val="333333"/>
        </w:rPr>
        <w:t xml:space="preserve">. They offered </w:t>
      </w:r>
      <w:r w:rsidRPr="008C6870">
        <w:rPr>
          <w:rFonts w:ascii="Times New Roman" w:hAnsi="Times New Roman" w:cs="Times New Roman"/>
          <w:color w:val="333333"/>
        </w:rPr>
        <w:t>dazzl</w:t>
      </w:r>
      <w:r w:rsidR="00CE415B">
        <w:rPr>
          <w:rFonts w:ascii="Times New Roman" w:hAnsi="Times New Roman" w:cs="Times New Roman"/>
          <w:color w:val="333333"/>
        </w:rPr>
        <w:t xml:space="preserve">ing visions </w:t>
      </w:r>
      <w:r w:rsidRPr="008C6870">
        <w:rPr>
          <w:rFonts w:ascii="Times New Roman" w:hAnsi="Times New Roman" w:cs="Times New Roman"/>
          <w:color w:val="333333"/>
        </w:rPr>
        <w:t>o</w:t>
      </w:r>
      <w:r w:rsidR="00CE415B">
        <w:rPr>
          <w:rFonts w:ascii="Times New Roman" w:hAnsi="Times New Roman" w:cs="Times New Roman"/>
          <w:color w:val="333333"/>
        </w:rPr>
        <w:t xml:space="preserve">f </w:t>
      </w:r>
      <w:r w:rsidRPr="008C6870">
        <w:rPr>
          <w:rFonts w:ascii="Times New Roman" w:hAnsi="Times New Roman" w:cs="Times New Roman"/>
          <w:color w:val="333333"/>
        </w:rPr>
        <w:t>the sunny uplands of</w:t>
      </w:r>
      <w:r w:rsidR="00CE415B">
        <w:rPr>
          <w:rFonts w:ascii="Times New Roman" w:hAnsi="Times New Roman" w:cs="Times New Roman"/>
          <w:color w:val="333333"/>
        </w:rPr>
        <w:t xml:space="preserve"> unlimited</w:t>
      </w:r>
      <w:r w:rsidRPr="008C6870">
        <w:rPr>
          <w:rFonts w:ascii="Times New Roman" w:hAnsi="Times New Roman" w:cs="Times New Roman"/>
          <w:color w:val="333333"/>
        </w:rPr>
        <w:t xml:space="preserve"> school choice for all rather than for the few</w:t>
      </w:r>
      <w:r w:rsidR="009F5875">
        <w:rPr>
          <w:rFonts w:ascii="Times New Roman" w:hAnsi="Times New Roman" w:cs="Times New Roman"/>
          <w:color w:val="333333"/>
        </w:rPr>
        <w:t xml:space="preserve">, driven by </w:t>
      </w:r>
      <w:r w:rsidR="0078242C">
        <w:rPr>
          <w:rFonts w:ascii="Times New Roman" w:hAnsi="Times New Roman" w:cs="Times New Roman"/>
          <w:color w:val="333333"/>
        </w:rPr>
        <w:t xml:space="preserve">unregulated </w:t>
      </w:r>
      <w:r w:rsidR="009F5875">
        <w:rPr>
          <w:rFonts w:ascii="Times New Roman" w:hAnsi="Times New Roman" w:cs="Times New Roman"/>
          <w:color w:val="333333"/>
        </w:rPr>
        <w:lastRenderedPageBreak/>
        <w:t>markets with beneficial owners untrammelled by concerns for equity or social justice across generations</w:t>
      </w:r>
      <w:r w:rsidR="00F86709">
        <w:rPr>
          <w:rFonts w:ascii="Times New Roman" w:hAnsi="Times New Roman" w:cs="Times New Roman"/>
          <w:color w:val="333333"/>
        </w:rPr>
        <w:t>.</w:t>
      </w:r>
      <w:r w:rsidR="0078242C" w:rsidRPr="0078242C">
        <w:rPr>
          <w:rFonts w:ascii="Times New Roman" w:hAnsi="Times New Roman" w:cs="Times New Roman"/>
          <w:color w:val="333333"/>
        </w:rPr>
        <w:t xml:space="preserve"> </w:t>
      </w:r>
      <w:r w:rsidR="0078242C" w:rsidRPr="008C6870">
        <w:rPr>
          <w:rFonts w:ascii="Times New Roman" w:hAnsi="Times New Roman" w:cs="Times New Roman"/>
          <w:color w:val="333333"/>
        </w:rPr>
        <w:t>Twenty years on</w:t>
      </w:r>
      <w:r w:rsidR="0078242C">
        <w:rPr>
          <w:rFonts w:ascii="Times New Roman" w:hAnsi="Times New Roman" w:cs="Times New Roman"/>
          <w:color w:val="333333"/>
        </w:rPr>
        <w:t>,</w:t>
      </w:r>
      <w:r w:rsidR="0078242C" w:rsidRPr="008C6870">
        <w:rPr>
          <w:rFonts w:ascii="Times New Roman" w:hAnsi="Times New Roman" w:cs="Times New Roman"/>
          <w:color w:val="333333"/>
        </w:rPr>
        <w:t xml:space="preserve"> there is plenty of </w:t>
      </w:r>
      <w:r w:rsidR="00C8746F">
        <w:rPr>
          <w:rFonts w:ascii="Times New Roman" w:hAnsi="Times New Roman" w:cs="Times New Roman"/>
          <w:color w:val="333333"/>
        </w:rPr>
        <w:t xml:space="preserve">empirical </w:t>
      </w:r>
      <w:r w:rsidR="0078242C" w:rsidRPr="008C6870">
        <w:rPr>
          <w:rFonts w:ascii="Times New Roman" w:hAnsi="Times New Roman" w:cs="Times New Roman"/>
          <w:color w:val="333333"/>
        </w:rPr>
        <w:t xml:space="preserve">evidence to test most of the claims made against the </w:t>
      </w:r>
      <w:r w:rsidR="0078242C">
        <w:rPr>
          <w:rFonts w:ascii="Times New Roman" w:hAnsi="Times New Roman" w:cs="Times New Roman"/>
          <w:color w:val="333333"/>
        </w:rPr>
        <w:t>u</w:t>
      </w:r>
      <w:r w:rsidR="0078242C" w:rsidRPr="008C6870">
        <w:rPr>
          <w:rFonts w:ascii="Times New Roman" w:hAnsi="Times New Roman" w:cs="Times New Roman"/>
          <w:color w:val="333333"/>
        </w:rPr>
        <w:t>nfolding reality</w:t>
      </w:r>
      <w:r w:rsidR="008A217D">
        <w:rPr>
          <w:rFonts w:ascii="Times New Roman" w:hAnsi="Times New Roman" w:cs="Times New Roman"/>
          <w:color w:val="333333"/>
        </w:rPr>
        <w:t>. U</w:t>
      </w:r>
      <w:r w:rsidR="00E87DB5">
        <w:rPr>
          <w:rFonts w:ascii="Times New Roman" w:hAnsi="Times New Roman" w:cs="Times New Roman"/>
          <w:color w:val="333333"/>
        </w:rPr>
        <w:t>nsubsidised NSPs can continue to provide schooling of quality to richer households but that they have had li</w:t>
      </w:r>
      <w:r w:rsidR="008A217D">
        <w:rPr>
          <w:rFonts w:ascii="Times New Roman" w:hAnsi="Times New Roman" w:cs="Times New Roman"/>
          <w:color w:val="333333"/>
        </w:rPr>
        <w:t xml:space="preserve">mited </w:t>
      </w:r>
      <w:r w:rsidR="00E87DB5">
        <w:rPr>
          <w:rFonts w:ascii="Times New Roman" w:hAnsi="Times New Roman" w:cs="Times New Roman"/>
          <w:color w:val="333333"/>
        </w:rPr>
        <w:t xml:space="preserve">impact on </w:t>
      </w:r>
      <w:r w:rsidR="008A217D">
        <w:rPr>
          <w:rFonts w:ascii="Times New Roman" w:hAnsi="Times New Roman" w:cs="Times New Roman"/>
          <w:color w:val="333333"/>
        </w:rPr>
        <w:t>improving the educational access of the most marginalised or on their learning achievement.</w:t>
      </w:r>
      <w:r w:rsidR="00E87DB5">
        <w:rPr>
          <w:rFonts w:ascii="Times New Roman" w:hAnsi="Times New Roman" w:cs="Times New Roman"/>
          <w:color w:val="333333"/>
        </w:rPr>
        <w:t xml:space="preserve"> </w:t>
      </w:r>
      <w:r w:rsidR="0078242C" w:rsidRPr="008C6870">
        <w:rPr>
          <w:rFonts w:ascii="Times New Roman" w:hAnsi="Times New Roman" w:cs="Times New Roman"/>
          <w:color w:val="333333"/>
        </w:rPr>
        <w:t>The GEM</w:t>
      </w:r>
      <w:r w:rsidR="006C0C26">
        <w:rPr>
          <w:rFonts w:ascii="Times New Roman" w:hAnsi="Times New Roman" w:cs="Times New Roman"/>
          <w:color w:val="333333"/>
        </w:rPr>
        <w:t xml:space="preserve"> </w:t>
      </w:r>
      <w:r w:rsidR="0078242C" w:rsidRPr="008C6870">
        <w:rPr>
          <w:rFonts w:ascii="Times New Roman" w:hAnsi="Times New Roman" w:cs="Times New Roman"/>
          <w:color w:val="333333"/>
        </w:rPr>
        <w:t>R</w:t>
      </w:r>
      <w:r w:rsidR="006C0C26">
        <w:rPr>
          <w:rFonts w:ascii="Times New Roman" w:hAnsi="Times New Roman" w:cs="Times New Roman"/>
          <w:color w:val="333333"/>
        </w:rPr>
        <w:t>eport</w:t>
      </w:r>
      <w:r w:rsidR="0078242C" w:rsidRPr="008C6870">
        <w:rPr>
          <w:rFonts w:ascii="Times New Roman" w:hAnsi="Times New Roman" w:cs="Times New Roman"/>
          <w:color w:val="333333"/>
        </w:rPr>
        <w:t xml:space="preserve"> offers</w:t>
      </w:r>
      <w:r w:rsidR="00BA5191">
        <w:rPr>
          <w:rFonts w:ascii="Times New Roman" w:hAnsi="Times New Roman" w:cs="Times New Roman"/>
          <w:color w:val="333333"/>
        </w:rPr>
        <w:t xml:space="preserve"> those </w:t>
      </w:r>
      <w:r w:rsidR="00C8746F">
        <w:rPr>
          <w:rFonts w:ascii="Times New Roman" w:hAnsi="Times New Roman" w:cs="Times New Roman"/>
          <w:color w:val="333333"/>
        </w:rPr>
        <w:t xml:space="preserve">with open minds </w:t>
      </w:r>
      <w:r w:rsidR="0078242C" w:rsidRPr="008C6870">
        <w:rPr>
          <w:rFonts w:ascii="Times New Roman" w:hAnsi="Times New Roman" w:cs="Times New Roman"/>
          <w:color w:val="333333"/>
        </w:rPr>
        <w:t>a</w:t>
      </w:r>
      <w:r w:rsidR="0078242C">
        <w:rPr>
          <w:rFonts w:ascii="Times New Roman" w:hAnsi="Times New Roman" w:cs="Times New Roman"/>
          <w:color w:val="333333"/>
        </w:rPr>
        <w:t>n</w:t>
      </w:r>
      <w:r w:rsidR="0078242C" w:rsidRPr="008C6870">
        <w:rPr>
          <w:rFonts w:ascii="Times New Roman" w:hAnsi="Times New Roman" w:cs="Times New Roman"/>
          <w:color w:val="333333"/>
        </w:rPr>
        <w:t xml:space="preserve"> opportunity to draw their own conclusions from two decades of myth</w:t>
      </w:r>
      <w:r w:rsidR="003361C2">
        <w:rPr>
          <w:rFonts w:ascii="Times New Roman" w:hAnsi="Times New Roman" w:cs="Times New Roman"/>
          <w:color w:val="333333"/>
        </w:rPr>
        <w:t>-</w:t>
      </w:r>
      <w:r w:rsidR="0078242C" w:rsidRPr="008C6870">
        <w:rPr>
          <w:rFonts w:ascii="Times New Roman" w:hAnsi="Times New Roman" w:cs="Times New Roman"/>
          <w:color w:val="333333"/>
        </w:rPr>
        <w:t>busting data.</w:t>
      </w:r>
    </w:p>
    <w:p w14:paraId="60D566EA" w14:textId="77777777" w:rsidR="00F86709" w:rsidRDefault="00F86709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75DA09C7" w14:textId="3D04135A" w:rsidR="004C4090" w:rsidRDefault="00A6623A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>The mushrooming</w:t>
      </w:r>
      <w:r>
        <w:rPr>
          <w:rFonts w:ascii="Times New Roman" w:hAnsi="Times New Roman" w:cs="Times New Roman"/>
          <w:color w:val="333333"/>
        </w:rPr>
        <w:t xml:space="preserve"> of NSPs </w:t>
      </w:r>
      <w:r w:rsidRPr="008C6870">
        <w:rPr>
          <w:rFonts w:ascii="Times New Roman" w:hAnsi="Times New Roman" w:cs="Times New Roman"/>
          <w:color w:val="333333"/>
        </w:rPr>
        <w:t>has been very uneve</w:t>
      </w:r>
      <w:r>
        <w:rPr>
          <w:rFonts w:ascii="Times New Roman" w:hAnsi="Times New Roman" w:cs="Times New Roman"/>
          <w:color w:val="333333"/>
        </w:rPr>
        <w:t xml:space="preserve">n across countries and over time. </w:t>
      </w:r>
      <w:r w:rsidR="00900F73" w:rsidRPr="008C6870">
        <w:rPr>
          <w:rFonts w:ascii="Times New Roman" w:hAnsi="Times New Roman" w:cs="Times New Roman"/>
          <w:color w:val="333333"/>
        </w:rPr>
        <w:t>The GEM</w:t>
      </w:r>
      <w:r w:rsidR="003361C2">
        <w:rPr>
          <w:rFonts w:ascii="Times New Roman" w:hAnsi="Times New Roman" w:cs="Times New Roman"/>
          <w:color w:val="333333"/>
        </w:rPr>
        <w:t xml:space="preserve"> </w:t>
      </w:r>
      <w:r w:rsidR="00900F73" w:rsidRPr="008C6870">
        <w:rPr>
          <w:rFonts w:ascii="Times New Roman" w:hAnsi="Times New Roman" w:cs="Times New Roman"/>
          <w:color w:val="333333"/>
        </w:rPr>
        <w:t>R</w:t>
      </w:r>
      <w:r w:rsidR="003361C2">
        <w:rPr>
          <w:rFonts w:ascii="Times New Roman" w:hAnsi="Times New Roman" w:cs="Times New Roman"/>
          <w:color w:val="333333"/>
        </w:rPr>
        <w:t>eport</w:t>
      </w:r>
      <w:r w:rsidR="00900F73" w:rsidRPr="008C6870">
        <w:rPr>
          <w:rFonts w:ascii="Times New Roman" w:hAnsi="Times New Roman" w:cs="Times New Roman"/>
          <w:color w:val="333333"/>
        </w:rPr>
        <w:t xml:space="preserve"> </w:t>
      </w:r>
      <w:r w:rsidR="00900F73">
        <w:rPr>
          <w:rFonts w:ascii="Times New Roman" w:hAnsi="Times New Roman" w:cs="Times New Roman"/>
          <w:color w:val="333333"/>
        </w:rPr>
        <w:t xml:space="preserve">shows </w:t>
      </w:r>
      <w:r w:rsidR="00900F73" w:rsidRPr="008C6870">
        <w:rPr>
          <w:rFonts w:ascii="Times New Roman" w:hAnsi="Times New Roman" w:cs="Times New Roman"/>
          <w:color w:val="333333"/>
        </w:rPr>
        <w:t>how</w:t>
      </w:r>
      <w:r w:rsidR="00900F73">
        <w:rPr>
          <w:rFonts w:ascii="Times New Roman" w:hAnsi="Times New Roman" w:cs="Times New Roman"/>
          <w:color w:val="333333"/>
        </w:rPr>
        <w:t xml:space="preserve"> provision by NSPs grew </w:t>
      </w:r>
      <w:r w:rsidR="00900F73" w:rsidRPr="008C6870">
        <w:rPr>
          <w:rFonts w:ascii="Times New Roman" w:hAnsi="Times New Roman" w:cs="Times New Roman"/>
          <w:color w:val="333333"/>
        </w:rPr>
        <w:t xml:space="preserve">from </w:t>
      </w:r>
      <w:r w:rsidR="00905947">
        <w:rPr>
          <w:rFonts w:ascii="Times New Roman" w:hAnsi="Times New Roman" w:cs="Times New Roman"/>
          <w:color w:val="333333"/>
        </w:rPr>
        <w:t>10% to 17% from 2002 to 2013</w:t>
      </w:r>
      <w:r w:rsidR="00961EFA">
        <w:rPr>
          <w:rFonts w:ascii="Times New Roman" w:hAnsi="Times New Roman" w:cs="Times New Roman"/>
          <w:color w:val="333333"/>
        </w:rPr>
        <w:t xml:space="preserve"> at primary level and from 19% to 26% at secondary level (or </w:t>
      </w:r>
      <w:r w:rsidR="00503CA2">
        <w:rPr>
          <w:rFonts w:ascii="Times New Roman" w:hAnsi="Times New Roman" w:cs="Times New Roman"/>
          <w:color w:val="333333"/>
        </w:rPr>
        <w:t>somewhat less if a correction is made for upward</w:t>
      </w:r>
      <w:r w:rsidR="00900F73" w:rsidRPr="008C6870">
        <w:rPr>
          <w:rFonts w:ascii="Times New Roman" w:hAnsi="Times New Roman" w:cs="Times New Roman"/>
          <w:color w:val="333333"/>
        </w:rPr>
        <w:t xml:space="preserve"> biases arising from </w:t>
      </w:r>
      <w:r w:rsidR="00900F73">
        <w:rPr>
          <w:rFonts w:ascii="Times New Roman" w:hAnsi="Times New Roman" w:cs="Times New Roman"/>
          <w:color w:val="333333"/>
        </w:rPr>
        <w:t xml:space="preserve">a </w:t>
      </w:r>
      <w:r w:rsidR="00900F73" w:rsidRPr="008C6870">
        <w:rPr>
          <w:rFonts w:ascii="Times New Roman" w:hAnsi="Times New Roman" w:cs="Times New Roman"/>
          <w:color w:val="333333"/>
        </w:rPr>
        <w:t>greater skew to</w:t>
      </w:r>
      <w:r w:rsidR="00900F73">
        <w:rPr>
          <w:rFonts w:ascii="Times New Roman" w:hAnsi="Times New Roman" w:cs="Times New Roman"/>
          <w:color w:val="333333"/>
        </w:rPr>
        <w:t>wards</w:t>
      </w:r>
      <w:r w:rsidR="00900F73" w:rsidRPr="008C6870">
        <w:rPr>
          <w:rFonts w:ascii="Times New Roman" w:hAnsi="Times New Roman" w:cs="Times New Roman"/>
          <w:color w:val="333333"/>
        </w:rPr>
        <w:t xml:space="preserve"> richer households</w:t>
      </w:r>
      <w:r w:rsidR="00503CA2">
        <w:rPr>
          <w:rFonts w:ascii="Times New Roman" w:hAnsi="Times New Roman" w:cs="Times New Roman"/>
          <w:color w:val="333333"/>
        </w:rPr>
        <w:t xml:space="preserve"> in secondary enrolment</w:t>
      </w:r>
      <w:r w:rsidR="00D60915">
        <w:rPr>
          <w:rFonts w:ascii="Times New Roman" w:hAnsi="Times New Roman" w:cs="Times New Roman"/>
          <w:color w:val="333333"/>
        </w:rPr>
        <w:t>). Since then</w:t>
      </w:r>
      <w:r w:rsidR="00194EF4">
        <w:rPr>
          <w:rFonts w:ascii="Times New Roman" w:hAnsi="Times New Roman" w:cs="Times New Roman"/>
          <w:color w:val="333333"/>
        </w:rPr>
        <w:t>,</w:t>
      </w:r>
      <w:r w:rsidR="00D60915">
        <w:rPr>
          <w:rFonts w:ascii="Times New Roman" w:hAnsi="Times New Roman" w:cs="Times New Roman"/>
          <w:color w:val="333333"/>
        </w:rPr>
        <w:t xml:space="preserve"> the growth has plateaued. </w:t>
      </w:r>
      <w:r w:rsidR="00503CA2">
        <w:rPr>
          <w:rFonts w:ascii="Times New Roman" w:hAnsi="Times New Roman" w:cs="Times New Roman"/>
          <w:color w:val="333333"/>
        </w:rPr>
        <w:t xml:space="preserve">Likely reasons for the stalled growth include </w:t>
      </w:r>
      <w:r w:rsidR="008B05F1">
        <w:rPr>
          <w:rFonts w:ascii="Times New Roman" w:hAnsi="Times New Roman" w:cs="Times New Roman"/>
          <w:color w:val="333333"/>
        </w:rPr>
        <w:t xml:space="preserve">falling rates of return </w:t>
      </w:r>
      <w:r w:rsidR="001970DE">
        <w:rPr>
          <w:rFonts w:ascii="Times New Roman" w:hAnsi="Times New Roman" w:cs="Times New Roman"/>
          <w:color w:val="333333"/>
        </w:rPr>
        <w:t xml:space="preserve">that are </w:t>
      </w:r>
      <w:r w:rsidR="008B05F1">
        <w:rPr>
          <w:rFonts w:ascii="Times New Roman" w:hAnsi="Times New Roman" w:cs="Times New Roman"/>
          <w:color w:val="333333"/>
        </w:rPr>
        <w:t xml:space="preserve">no longer sufficient to tempt venture capital </w:t>
      </w:r>
      <w:r w:rsidR="00986B18">
        <w:rPr>
          <w:rFonts w:ascii="Times New Roman" w:hAnsi="Times New Roman" w:cs="Times New Roman"/>
          <w:color w:val="333333"/>
        </w:rPr>
        <w:t xml:space="preserve">or </w:t>
      </w:r>
      <w:r w:rsidR="001970DE">
        <w:rPr>
          <w:rFonts w:ascii="Times New Roman" w:hAnsi="Times New Roman" w:cs="Times New Roman"/>
          <w:color w:val="333333"/>
        </w:rPr>
        <w:t xml:space="preserve">motivate </w:t>
      </w:r>
      <w:r w:rsidR="00986B18">
        <w:rPr>
          <w:rFonts w:ascii="Times New Roman" w:hAnsi="Times New Roman" w:cs="Times New Roman"/>
          <w:color w:val="333333"/>
        </w:rPr>
        <w:t>risk</w:t>
      </w:r>
      <w:r w:rsidR="00683170">
        <w:rPr>
          <w:rFonts w:ascii="Times New Roman" w:hAnsi="Times New Roman" w:cs="Times New Roman"/>
          <w:color w:val="333333"/>
        </w:rPr>
        <w:t>-</w:t>
      </w:r>
      <w:r w:rsidR="00986B18">
        <w:rPr>
          <w:rFonts w:ascii="Times New Roman" w:hAnsi="Times New Roman" w:cs="Times New Roman"/>
          <w:color w:val="333333"/>
        </w:rPr>
        <w:t>averse small investors</w:t>
      </w:r>
      <w:r w:rsidR="001970DE">
        <w:rPr>
          <w:rFonts w:ascii="Times New Roman" w:hAnsi="Times New Roman" w:cs="Times New Roman"/>
          <w:color w:val="333333"/>
        </w:rPr>
        <w:t xml:space="preserve">, saturation of effective demand linked to </w:t>
      </w:r>
      <w:r w:rsidR="00D60915">
        <w:rPr>
          <w:rFonts w:ascii="Times New Roman" w:hAnsi="Times New Roman" w:cs="Times New Roman"/>
          <w:color w:val="333333"/>
        </w:rPr>
        <w:t xml:space="preserve">disposable </w:t>
      </w:r>
      <w:r w:rsidR="001970DE">
        <w:rPr>
          <w:rFonts w:ascii="Times New Roman" w:hAnsi="Times New Roman" w:cs="Times New Roman"/>
          <w:color w:val="333333"/>
        </w:rPr>
        <w:t xml:space="preserve">household income, and </w:t>
      </w:r>
      <w:r w:rsidR="004C4090">
        <w:rPr>
          <w:rFonts w:ascii="Times New Roman" w:hAnsi="Times New Roman" w:cs="Times New Roman"/>
          <w:color w:val="333333"/>
        </w:rPr>
        <w:t>limits to the number of entrepreneurs able to manage schools successfully. Most recently t</w:t>
      </w:r>
      <w:r w:rsidR="00986B18">
        <w:rPr>
          <w:rFonts w:ascii="Times New Roman" w:hAnsi="Times New Roman" w:cs="Times New Roman"/>
          <w:color w:val="333333"/>
        </w:rPr>
        <w:t xml:space="preserve">he </w:t>
      </w:r>
      <w:r w:rsidR="00DE6B3D" w:rsidRPr="008C6870">
        <w:rPr>
          <w:rFonts w:ascii="Times New Roman" w:hAnsi="Times New Roman" w:cs="Times New Roman"/>
          <w:color w:val="333333"/>
        </w:rPr>
        <w:t xml:space="preserve">exigencies of </w:t>
      </w:r>
      <w:r w:rsidR="004C4090">
        <w:rPr>
          <w:rFonts w:ascii="Times New Roman" w:hAnsi="Times New Roman" w:cs="Times New Roman"/>
          <w:color w:val="333333"/>
        </w:rPr>
        <w:t>c</w:t>
      </w:r>
      <w:r w:rsidR="00DE6B3D" w:rsidRPr="008C6870">
        <w:rPr>
          <w:rFonts w:ascii="Times New Roman" w:hAnsi="Times New Roman" w:cs="Times New Roman"/>
          <w:color w:val="333333"/>
        </w:rPr>
        <w:t xml:space="preserve">ovid-19 have exposed the </w:t>
      </w:r>
      <w:r w:rsidR="004C4090">
        <w:rPr>
          <w:rFonts w:ascii="Times New Roman" w:hAnsi="Times New Roman" w:cs="Times New Roman"/>
          <w:color w:val="333333"/>
        </w:rPr>
        <w:t xml:space="preserve">weaknesses of </w:t>
      </w:r>
      <w:r w:rsidR="00DE6B3D" w:rsidRPr="008C6870">
        <w:rPr>
          <w:rFonts w:ascii="Times New Roman" w:hAnsi="Times New Roman" w:cs="Times New Roman"/>
          <w:color w:val="333333"/>
        </w:rPr>
        <w:t xml:space="preserve">the business models of </w:t>
      </w:r>
      <w:r w:rsidR="004C4090">
        <w:rPr>
          <w:rFonts w:ascii="Times New Roman" w:hAnsi="Times New Roman" w:cs="Times New Roman"/>
          <w:color w:val="333333"/>
        </w:rPr>
        <w:t xml:space="preserve">some </w:t>
      </w:r>
      <w:r w:rsidR="00DE6B3D" w:rsidRPr="008C6870">
        <w:rPr>
          <w:rFonts w:ascii="Times New Roman" w:hAnsi="Times New Roman" w:cs="Times New Roman"/>
          <w:color w:val="333333"/>
        </w:rPr>
        <w:t>NSPs</w:t>
      </w:r>
      <w:r w:rsidR="004C4090">
        <w:rPr>
          <w:rFonts w:ascii="Times New Roman" w:hAnsi="Times New Roman" w:cs="Times New Roman"/>
          <w:color w:val="333333"/>
        </w:rPr>
        <w:t xml:space="preserve"> and their lack of resilience. </w:t>
      </w:r>
    </w:p>
    <w:p w14:paraId="48B61147" w14:textId="77777777" w:rsidR="00D60915" w:rsidRDefault="00D60915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0BC19F8C" w14:textId="31DF1262" w:rsidR="00EA7AD3" w:rsidRPr="008C6870" w:rsidRDefault="004D776A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</w:t>
      </w:r>
      <w:r w:rsidR="007500E1" w:rsidRPr="008C6870">
        <w:rPr>
          <w:rFonts w:ascii="Times New Roman" w:hAnsi="Times New Roman" w:cs="Times New Roman"/>
          <w:color w:val="333333"/>
        </w:rPr>
        <w:t>he</w:t>
      </w:r>
      <w:r w:rsidR="00D60915">
        <w:rPr>
          <w:rFonts w:ascii="Times New Roman" w:hAnsi="Times New Roman" w:cs="Times New Roman"/>
          <w:color w:val="333333"/>
        </w:rPr>
        <w:t xml:space="preserve"> GEM</w:t>
      </w:r>
      <w:r w:rsidR="006C4EA0">
        <w:rPr>
          <w:rFonts w:ascii="Times New Roman" w:hAnsi="Times New Roman" w:cs="Times New Roman"/>
          <w:color w:val="333333"/>
        </w:rPr>
        <w:t xml:space="preserve"> </w:t>
      </w:r>
      <w:r w:rsidR="00D60915">
        <w:rPr>
          <w:rFonts w:ascii="Times New Roman" w:hAnsi="Times New Roman" w:cs="Times New Roman"/>
          <w:color w:val="333333"/>
        </w:rPr>
        <w:t>R</w:t>
      </w:r>
      <w:r w:rsidR="006C4EA0">
        <w:rPr>
          <w:rFonts w:ascii="Times New Roman" w:hAnsi="Times New Roman" w:cs="Times New Roman"/>
          <w:color w:val="333333"/>
        </w:rPr>
        <w:t>eport</w:t>
      </w:r>
      <w:r w:rsidR="00D60915">
        <w:rPr>
          <w:rFonts w:ascii="Times New Roman" w:hAnsi="Times New Roman" w:cs="Times New Roman"/>
          <w:color w:val="333333"/>
        </w:rPr>
        <w:t xml:space="preserve"> notes that the</w:t>
      </w:r>
      <w:r w:rsidR="007500E1" w:rsidRPr="008C6870">
        <w:rPr>
          <w:rFonts w:ascii="Times New Roman" w:hAnsi="Times New Roman" w:cs="Times New Roman"/>
          <w:color w:val="333333"/>
        </w:rPr>
        <w:t xml:space="preserve"> countries that have been most successful at increasing enrolment rates have not depended</w:t>
      </w:r>
      <w:r w:rsidR="005B04D2" w:rsidRPr="008C6870">
        <w:rPr>
          <w:rFonts w:ascii="Times New Roman" w:hAnsi="Times New Roman" w:cs="Times New Roman"/>
          <w:color w:val="333333"/>
        </w:rPr>
        <w:t xml:space="preserve"> on</w:t>
      </w:r>
      <w:r w:rsidR="007500E1" w:rsidRPr="008C6870">
        <w:rPr>
          <w:rFonts w:ascii="Times New Roman" w:hAnsi="Times New Roman" w:cs="Times New Roman"/>
          <w:color w:val="333333"/>
        </w:rPr>
        <w:t xml:space="preserve"> </w:t>
      </w:r>
      <w:r w:rsidR="00986B18">
        <w:rPr>
          <w:rFonts w:ascii="Times New Roman" w:hAnsi="Times New Roman" w:cs="Times New Roman"/>
          <w:color w:val="333333"/>
        </w:rPr>
        <w:t xml:space="preserve">growth in </w:t>
      </w:r>
      <w:r w:rsidR="007500E1" w:rsidRPr="008C6870">
        <w:rPr>
          <w:rFonts w:ascii="Times New Roman" w:hAnsi="Times New Roman" w:cs="Times New Roman"/>
          <w:color w:val="333333"/>
        </w:rPr>
        <w:t>low</w:t>
      </w:r>
      <w:r w:rsidR="006C4EA0">
        <w:rPr>
          <w:rFonts w:ascii="Times New Roman" w:hAnsi="Times New Roman" w:cs="Times New Roman"/>
          <w:color w:val="333333"/>
        </w:rPr>
        <w:t>-</w:t>
      </w:r>
      <w:r w:rsidR="007500E1" w:rsidRPr="008C6870">
        <w:rPr>
          <w:rFonts w:ascii="Times New Roman" w:hAnsi="Times New Roman" w:cs="Times New Roman"/>
          <w:color w:val="333333"/>
        </w:rPr>
        <w:t>cost private schools</w:t>
      </w:r>
      <w:r w:rsidR="004C4090">
        <w:rPr>
          <w:rFonts w:ascii="Times New Roman" w:hAnsi="Times New Roman" w:cs="Times New Roman"/>
          <w:color w:val="333333"/>
        </w:rPr>
        <w:t xml:space="preserve">. </w:t>
      </w:r>
      <w:r w:rsidR="00986B18">
        <w:rPr>
          <w:rFonts w:ascii="Times New Roman" w:hAnsi="Times New Roman" w:cs="Times New Roman"/>
          <w:color w:val="333333"/>
        </w:rPr>
        <w:t xml:space="preserve">NSPs have </w:t>
      </w:r>
      <w:r w:rsidR="005B04D2" w:rsidRPr="008C6870">
        <w:rPr>
          <w:rFonts w:ascii="Times New Roman" w:hAnsi="Times New Roman" w:cs="Times New Roman"/>
          <w:color w:val="333333"/>
        </w:rPr>
        <w:t>tend</w:t>
      </w:r>
      <w:r w:rsidR="00986B18">
        <w:rPr>
          <w:rFonts w:ascii="Times New Roman" w:hAnsi="Times New Roman" w:cs="Times New Roman"/>
          <w:color w:val="333333"/>
        </w:rPr>
        <w:t>ed</w:t>
      </w:r>
      <w:r w:rsidR="005B04D2" w:rsidRPr="008C6870">
        <w:rPr>
          <w:rFonts w:ascii="Times New Roman" w:hAnsi="Times New Roman" w:cs="Times New Roman"/>
          <w:color w:val="333333"/>
        </w:rPr>
        <w:t xml:space="preserve"> to recruit from those already enrolled</w:t>
      </w:r>
      <w:r w:rsidR="004C4090">
        <w:rPr>
          <w:rFonts w:ascii="Times New Roman" w:hAnsi="Times New Roman" w:cs="Times New Roman"/>
          <w:color w:val="333333"/>
        </w:rPr>
        <w:t xml:space="preserve"> rather than increase overall enrolment rates</w:t>
      </w:r>
      <w:r w:rsidR="008B05F1">
        <w:rPr>
          <w:rFonts w:ascii="Times New Roman" w:hAnsi="Times New Roman" w:cs="Times New Roman"/>
          <w:color w:val="333333"/>
        </w:rPr>
        <w:t>. M</w:t>
      </w:r>
      <w:r w:rsidR="006332C3">
        <w:rPr>
          <w:rFonts w:ascii="Times New Roman" w:hAnsi="Times New Roman" w:cs="Times New Roman"/>
          <w:color w:val="333333"/>
        </w:rPr>
        <w:t xml:space="preserve">any systems </w:t>
      </w:r>
      <w:r w:rsidR="00F3194D">
        <w:rPr>
          <w:rFonts w:ascii="Times New Roman" w:hAnsi="Times New Roman" w:cs="Times New Roman"/>
          <w:color w:val="333333"/>
        </w:rPr>
        <w:t xml:space="preserve">with </w:t>
      </w:r>
      <w:r w:rsidR="00792543" w:rsidRPr="008C6870">
        <w:rPr>
          <w:rFonts w:ascii="Times New Roman" w:hAnsi="Times New Roman" w:cs="Times New Roman"/>
          <w:color w:val="333333"/>
        </w:rPr>
        <w:t>high en</w:t>
      </w:r>
      <w:r w:rsidR="004D5694" w:rsidRPr="008C6870">
        <w:rPr>
          <w:rFonts w:ascii="Times New Roman" w:hAnsi="Times New Roman" w:cs="Times New Roman"/>
          <w:color w:val="333333"/>
        </w:rPr>
        <w:t>r</w:t>
      </w:r>
      <w:r w:rsidR="00792543" w:rsidRPr="008C6870">
        <w:rPr>
          <w:rFonts w:ascii="Times New Roman" w:hAnsi="Times New Roman" w:cs="Times New Roman"/>
          <w:color w:val="333333"/>
        </w:rPr>
        <w:t>olment</w:t>
      </w:r>
      <w:r w:rsidR="00F3194D">
        <w:rPr>
          <w:rFonts w:ascii="Times New Roman" w:hAnsi="Times New Roman" w:cs="Times New Roman"/>
          <w:color w:val="333333"/>
        </w:rPr>
        <w:t>s</w:t>
      </w:r>
      <w:r w:rsidR="00792543" w:rsidRPr="008C6870">
        <w:rPr>
          <w:rFonts w:ascii="Times New Roman" w:hAnsi="Times New Roman" w:cs="Times New Roman"/>
          <w:color w:val="333333"/>
        </w:rPr>
        <w:t xml:space="preserve"> have remained </w:t>
      </w:r>
      <w:r>
        <w:rPr>
          <w:rFonts w:ascii="Times New Roman" w:hAnsi="Times New Roman" w:cs="Times New Roman"/>
          <w:color w:val="333333"/>
        </w:rPr>
        <w:t xml:space="preserve">free of </w:t>
      </w:r>
      <w:r w:rsidR="00792543" w:rsidRPr="008C6870">
        <w:rPr>
          <w:rFonts w:ascii="Times New Roman" w:hAnsi="Times New Roman" w:cs="Times New Roman"/>
          <w:color w:val="333333"/>
        </w:rPr>
        <w:t>mushroom</w:t>
      </w:r>
      <w:r>
        <w:rPr>
          <w:rFonts w:ascii="Times New Roman" w:hAnsi="Times New Roman" w:cs="Times New Roman"/>
          <w:color w:val="333333"/>
        </w:rPr>
        <w:t>ing NSPs</w:t>
      </w:r>
      <w:r w:rsidR="006332C3">
        <w:rPr>
          <w:rFonts w:ascii="Times New Roman" w:hAnsi="Times New Roman" w:cs="Times New Roman"/>
          <w:color w:val="333333"/>
        </w:rPr>
        <w:t>.</w:t>
      </w:r>
      <w:r w:rsidR="00732E88">
        <w:rPr>
          <w:rFonts w:ascii="Times New Roman" w:hAnsi="Times New Roman" w:cs="Times New Roman"/>
          <w:color w:val="333333"/>
        </w:rPr>
        <w:t xml:space="preserve"> </w:t>
      </w:r>
      <w:r w:rsidR="002E3B22">
        <w:rPr>
          <w:rFonts w:ascii="Times New Roman" w:hAnsi="Times New Roman" w:cs="Times New Roman"/>
          <w:color w:val="333333"/>
        </w:rPr>
        <w:t>Long</w:t>
      </w:r>
      <w:r w:rsidR="006C4EA0">
        <w:rPr>
          <w:rFonts w:ascii="Times New Roman" w:hAnsi="Times New Roman" w:cs="Times New Roman"/>
          <w:color w:val="333333"/>
        </w:rPr>
        <w:t>-</w:t>
      </w:r>
      <w:r w:rsidR="002E3B22">
        <w:rPr>
          <w:rFonts w:ascii="Times New Roman" w:hAnsi="Times New Roman" w:cs="Times New Roman"/>
          <w:color w:val="333333"/>
        </w:rPr>
        <w:t>standing a</w:t>
      </w:r>
      <w:r w:rsidR="00092A6B">
        <w:rPr>
          <w:rFonts w:ascii="Times New Roman" w:hAnsi="Times New Roman" w:cs="Times New Roman"/>
          <w:color w:val="333333"/>
        </w:rPr>
        <w:t xml:space="preserve">nalysis </w:t>
      </w:r>
      <w:r w:rsidR="000C5FF5">
        <w:rPr>
          <w:rFonts w:ascii="Times New Roman" w:hAnsi="Times New Roman" w:cs="Times New Roman"/>
          <w:color w:val="333333"/>
        </w:rPr>
        <w:t xml:space="preserve">and recent data </w:t>
      </w:r>
      <w:r w:rsidR="002E3B22">
        <w:rPr>
          <w:rFonts w:ascii="Times New Roman" w:hAnsi="Times New Roman" w:cs="Times New Roman"/>
          <w:color w:val="333333"/>
        </w:rPr>
        <w:t xml:space="preserve">supports the rule of thumb that </w:t>
      </w:r>
      <w:hyperlink r:id="rId12" w:history="1">
        <w:r w:rsidR="00EA7AD3" w:rsidRPr="00BA560D">
          <w:rPr>
            <w:rStyle w:val="Hyperlink"/>
            <w:rFonts w:ascii="Times New Roman" w:hAnsi="Times New Roman" w:cs="Times New Roman"/>
          </w:rPr>
          <w:t xml:space="preserve">unsubsidised NSPs cannot consistently reach children </w:t>
        </w:r>
        <w:r w:rsidR="00916D0C" w:rsidRPr="00BA560D">
          <w:rPr>
            <w:rStyle w:val="Hyperlink"/>
            <w:rFonts w:ascii="Times New Roman" w:hAnsi="Times New Roman" w:cs="Times New Roman"/>
          </w:rPr>
          <w:t xml:space="preserve">much </w:t>
        </w:r>
        <w:r w:rsidR="00EA7AD3" w:rsidRPr="00BA560D">
          <w:rPr>
            <w:rStyle w:val="Hyperlink"/>
            <w:rFonts w:ascii="Times New Roman" w:hAnsi="Times New Roman" w:cs="Times New Roman"/>
          </w:rPr>
          <w:t>below the</w:t>
        </w:r>
        <w:r w:rsidR="00916D0C" w:rsidRPr="00BA560D">
          <w:rPr>
            <w:rStyle w:val="Hyperlink"/>
            <w:rFonts w:ascii="Times New Roman" w:hAnsi="Times New Roman" w:cs="Times New Roman"/>
          </w:rPr>
          <w:t xml:space="preserve"> 20</w:t>
        </w:r>
        <w:r w:rsidR="00916D0C" w:rsidRPr="00BA560D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="00916D0C" w:rsidRPr="00BA560D">
          <w:rPr>
            <w:rStyle w:val="Hyperlink"/>
            <w:rFonts w:ascii="Times New Roman" w:hAnsi="Times New Roman" w:cs="Times New Roman"/>
          </w:rPr>
          <w:t xml:space="preserve"> percentile</w:t>
        </w:r>
        <w:r w:rsidR="00EA7AD3" w:rsidRPr="00BA560D">
          <w:rPr>
            <w:rStyle w:val="Hyperlink"/>
            <w:rFonts w:ascii="Times New Roman" w:hAnsi="Times New Roman" w:cs="Times New Roman"/>
          </w:rPr>
          <w:t xml:space="preserve"> of household income</w:t>
        </w:r>
      </w:hyperlink>
      <w:r w:rsidR="00EA7AD3" w:rsidRPr="008C6870">
        <w:rPr>
          <w:rFonts w:ascii="Times New Roman" w:hAnsi="Times New Roman" w:cs="Times New Roman"/>
          <w:color w:val="333333"/>
        </w:rPr>
        <w:t xml:space="preserve"> </w:t>
      </w:r>
      <w:r w:rsidR="00916D0C" w:rsidRPr="008C6870">
        <w:rPr>
          <w:rFonts w:ascii="Times New Roman" w:hAnsi="Times New Roman" w:cs="Times New Roman"/>
          <w:color w:val="333333"/>
        </w:rPr>
        <w:t xml:space="preserve">with </w:t>
      </w:r>
      <w:r w:rsidR="00EA7AD3" w:rsidRPr="008C6870">
        <w:rPr>
          <w:rFonts w:ascii="Times New Roman" w:hAnsi="Times New Roman" w:cs="Times New Roman"/>
          <w:color w:val="333333"/>
        </w:rPr>
        <w:t>full</w:t>
      </w:r>
      <w:r w:rsidR="000E2B20">
        <w:rPr>
          <w:rFonts w:ascii="Times New Roman" w:hAnsi="Times New Roman" w:cs="Times New Roman"/>
          <w:color w:val="333333"/>
        </w:rPr>
        <w:t>-</w:t>
      </w:r>
      <w:r w:rsidR="00EA7AD3" w:rsidRPr="008C6870">
        <w:rPr>
          <w:rFonts w:ascii="Times New Roman" w:hAnsi="Times New Roman" w:cs="Times New Roman"/>
          <w:color w:val="333333"/>
        </w:rPr>
        <w:t>cost</w:t>
      </w:r>
      <w:r w:rsidR="00916D0C" w:rsidRPr="008C6870">
        <w:rPr>
          <w:rFonts w:ascii="Times New Roman" w:hAnsi="Times New Roman" w:cs="Times New Roman"/>
          <w:color w:val="333333"/>
        </w:rPr>
        <w:t xml:space="preserve"> national curriculum </w:t>
      </w:r>
      <w:r w:rsidR="00EA7AD3" w:rsidRPr="008C6870">
        <w:rPr>
          <w:rFonts w:ascii="Times New Roman" w:hAnsi="Times New Roman" w:cs="Times New Roman"/>
          <w:color w:val="333333"/>
        </w:rPr>
        <w:t>secondary schooling</w:t>
      </w:r>
      <w:r w:rsidR="003E4A71">
        <w:rPr>
          <w:rFonts w:ascii="Times New Roman" w:hAnsi="Times New Roman" w:cs="Times New Roman"/>
          <w:color w:val="333333"/>
        </w:rPr>
        <w:t>,</w:t>
      </w:r>
      <w:r w:rsidR="00EA7AD3" w:rsidRPr="008C6870">
        <w:rPr>
          <w:rFonts w:ascii="Times New Roman" w:hAnsi="Times New Roman" w:cs="Times New Roman"/>
          <w:color w:val="333333"/>
        </w:rPr>
        <w:t xml:space="preserve"> and</w:t>
      </w:r>
      <w:r w:rsidR="00916D0C" w:rsidRPr="008C6870">
        <w:rPr>
          <w:rFonts w:ascii="Times New Roman" w:hAnsi="Times New Roman" w:cs="Times New Roman"/>
          <w:color w:val="333333"/>
        </w:rPr>
        <w:t xml:space="preserve"> </w:t>
      </w:r>
      <w:r w:rsidR="002E3B22">
        <w:rPr>
          <w:rFonts w:ascii="Times New Roman" w:hAnsi="Times New Roman" w:cs="Times New Roman"/>
          <w:color w:val="333333"/>
        </w:rPr>
        <w:t xml:space="preserve">much </w:t>
      </w:r>
      <w:r w:rsidR="00916D0C" w:rsidRPr="008C6870">
        <w:rPr>
          <w:rFonts w:ascii="Times New Roman" w:hAnsi="Times New Roman" w:cs="Times New Roman"/>
          <w:color w:val="333333"/>
        </w:rPr>
        <w:t xml:space="preserve">below the </w:t>
      </w:r>
      <w:r w:rsidR="002E3B22">
        <w:rPr>
          <w:rFonts w:ascii="Times New Roman" w:hAnsi="Times New Roman" w:cs="Times New Roman"/>
          <w:color w:val="333333"/>
        </w:rPr>
        <w:t>4</w:t>
      </w:r>
      <w:r w:rsidR="00916D0C" w:rsidRPr="008C6870">
        <w:rPr>
          <w:rFonts w:ascii="Times New Roman" w:hAnsi="Times New Roman" w:cs="Times New Roman"/>
          <w:color w:val="333333"/>
        </w:rPr>
        <w:t>0</w:t>
      </w:r>
      <w:r w:rsidR="00916D0C" w:rsidRPr="008C6870">
        <w:rPr>
          <w:rFonts w:ascii="Times New Roman" w:hAnsi="Times New Roman" w:cs="Times New Roman"/>
          <w:color w:val="333333"/>
          <w:vertAlign w:val="superscript"/>
        </w:rPr>
        <w:t>th</w:t>
      </w:r>
      <w:r w:rsidR="00916D0C" w:rsidRPr="008C6870">
        <w:rPr>
          <w:rFonts w:ascii="Times New Roman" w:hAnsi="Times New Roman" w:cs="Times New Roman"/>
          <w:color w:val="333333"/>
        </w:rPr>
        <w:t xml:space="preserve"> percentile for primary schooling.</w:t>
      </w:r>
      <w:r w:rsidR="00092A6B">
        <w:rPr>
          <w:rFonts w:ascii="Times New Roman" w:hAnsi="Times New Roman" w:cs="Times New Roman"/>
          <w:color w:val="333333"/>
        </w:rPr>
        <w:t xml:space="preserve"> </w:t>
      </w:r>
    </w:p>
    <w:p w14:paraId="1E126DAB" w14:textId="77777777" w:rsidR="00EA7AD3" w:rsidRPr="008C6870" w:rsidRDefault="00EA7AD3" w:rsidP="0079254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4405E840" w14:textId="0420605C" w:rsidR="00FB660D" w:rsidRDefault="00FB660D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>Simply put</w:t>
      </w:r>
      <w:r w:rsidR="00355EB3">
        <w:rPr>
          <w:rFonts w:ascii="Times New Roman" w:hAnsi="Times New Roman" w:cs="Times New Roman"/>
          <w:color w:val="333333"/>
        </w:rPr>
        <w:t>,</w:t>
      </w:r>
      <w:r w:rsidRPr="008C6870">
        <w:rPr>
          <w:rFonts w:ascii="Times New Roman" w:hAnsi="Times New Roman" w:cs="Times New Roman"/>
          <w:color w:val="333333"/>
        </w:rPr>
        <w:t xml:space="preserve"> those who underst</w:t>
      </w:r>
      <w:r w:rsidR="000C5FF5">
        <w:rPr>
          <w:rFonts w:ascii="Times New Roman" w:hAnsi="Times New Roman" w:cs="Times New Roman"/>
          <w:color w:val="333333"/>
        </w:rPr>
        <w:t>an</w:t>
      </w:r>
      <w:r w:rsidRPr="008C6870">
        <w:rPr>
          <w:rFonts w:ascii="Times New Roman" w:hAnsi="Times New Roman" w:cs="Times New Roman"/>
          <w:color w:val="333333"/>
        </w:rPr>
        <w:t xml:space="preserve">d the demography, income distribution, </w:t>
      </w:r>
      <w:r w:rsidR="00BC09D9">
        <w:rPr>
          <w:rFonts w:ascii="Times New Roman" w:hAnsi="Times New Roman" w:cs="Times New Roman"/>
          <w:color w:val="333333"/>
        </w:rPr>
        <w:t>the</w:t>
      </w:r>
      <w:r w:rsidRPr="008C6870">
        <w:rPr>
          <w:rFonts w:ascii="Times New Roman" w:hAnsi="Times New Roman" w:cs="Times New Roman"/>
          <w:color w:val="333333"/>
        </w:rPr>
        <w:t xml:space="preserve"> size of the private sector in low</w:t>
      </w:r>
      <w:r w:rsidR="000E2B20">
        <w:rPr>
          <w:rFonts w:ascii="Times New Roman" w:hAnsi="Times New Roman" w:cs="Times New Roman"/>
          <w:color w:val="333333"/>
        </w:rPr>
        <w:t>-</w:t>
      </w:r>
      <w:r w:rsidRPr="008C6870">
        <w:rPr>
          <w:rFonts w:ascii="Times New Roman" w:hAnsi="Times New Roman" w:cs="Times New Roman"/>
          <w:color w:val="333333"/>
        </w:rPr>
        <w:t xml:space="preserve"> and low</w:t>
      </w:r>
      <w:r w:rsidR="000E2B20">
        <w:rPr>
          <w:rFonts w:ascii="Times New Roman" w:hAnsi="Times New Roman" w:cs="Times New Roman"/>
          <w:color w:val="333333"/>
        </w:rPr>
        <w:t>-</w:t>
      </w:r>
      <w:r w:rsidRPr="008C6870">
        <w:rPr>
          <w:rFonts w:ascii="Times New Roman" w:hAnsi="Times New Roman" w:cs="Times New Roman"/>
          <w:color w:val="333333"/>
        </w:rPr>
        <w:t>middle income countries</w:t>
      </w:r>
      <w:r w:rsidR="00BC09D9">
        <w:rPr>
          <w:rFonts w:ascii="Times New Roman" w:hAnsi="Times New Roman" w:cs="Times New Roman"/>
          <w:color w:val="333333"/>
        </w:rPr>
        <w:t>, and patterns of effective demand for NSPs</w:t>
      </w:r>
      <w:r w:rsidRPr="008C6870">
        <w:rPr>
          <w:rFonts w:ascii="Times New Roman" w:hAnsi="Times New Roman" w:cs="Times New Roman"/>
          <w:color w:val="333333"/>
        </w:rPr>
        <w:t xml:space="preserve"> c</w:t>
      </w:r>
      <w:r w:rsidR="00B964C2" w:rsidRPr="008C6870">
        <w:rPr>
          <w:rFonts w:ascii="Times New Roman" w:hAnsi="Times New Roman" w:cs="Times New Roman"/>
          <w:color w:val="333333"/>
        </w:rPr>
        <w:t>an</w:t>
      </w:r>
      <w:r w:rsidRPr="008C6870">
        <w:rPr>
          <w:rFonts w:ascii="Times New Roman" w:hAnsi="Times New Roman" w:cs="Times New Roman"/>
          <w:color w:val="333333"/>
        </w:rPr>
        <w:t xml:space="preserve"> </w:t>
      </w:r>
      <w:r w:rsidR="000C5FF5">
        <w:rPr>
          <w:rFonts w:ascii="Times New Roman" w:hAnsi="Times New Roman" w:cs="Times New Roman"/>
          <w:color w:val="333333"/>
        </w:rPr>
        <w:t xml:space="preserve">convincingly </w:t>
      </w:r>
      <w:r w:rsidR="00CE5B4F">
        <w:rPr>
          <w:rFonts w:ascii="Times New Roman" w:hAnsi="Times New Roman" w:cs="Times New Roman"/>
          <w:color w:val="333333"/>
        </w:rPr>
        <w:t>now</w:t>
      </w:r>
      <w:r w:rsidRPr="008C6870">
        <w:rPr>
          <w:rFonts w:ascii="Times New Roman" w:hAnsi="Times New Roman" w:cs="Times New Roman"/>
          <w:color w:val="333333"/>
        </w:rPr>
        <w:t xml:space="preserve"> demonstrate that</w:t>
      </w:r>
      <w:r w:rsidR="008C6870">
        <w:rPr>
          <w:rFonts w:ascii="Times New Roman" w:hAnsi="Times New Roman" w:cs="Times New Roman"/>
          <w:color w:val="333333"/>
        </w:rPr>
        <w:t>:</w:t>
      </w:r>
      <w:r w:rsidRPr="008C6870">
        <w:rPr>
          <w:rFonts w:ascii="Times New Roman" w:hAnsi="Times New Roman" w:cs="Times New Roman"/>
          <w:color w:val="333333"/>
        </w:rPr>
        <w:t xml:space="preserve"> </w:t>
      </w:r>
    </w:p>
    <w:p w14:paraId="31ABC2C2" w14:textId="77777777" w:rsidR="008C6870" w:rsidRPr="008C6870" w:rsidRDefault="008C6870" w:rsidP="00B83B54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255B4859" w14:textId="691D68BC" w:rsidR="00BC09D9" w:rsidRPr="00882FA2" w:rsidRDefault="00683170" w:rsidP="00E60484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F127AD">
        <w:rPr>
          <w:rFonts w:ascii="Times New Roman" w:hAnsi="Times New Roman" w:cs="Times New Roman"/>
          <w:color w:val="333333"/>
        </w:rPr>
        <w:t>C</w:t>
      </w:r>
      <w:r w:rsidR="00BC09D9" w:rsidRPr="00F127AD">
        <w:rPr>
          <w:rFonts w:ascii="Times New Roman" w:hAnsi="Times New Roman" w:cs="Times New Roman"/>
          <w:color w:val="333333"/>
        </w:rPr>
        <w:t xml:space="preserve">harging fees to the 40% of households at or below the poverty level is both counterproductive (it increases the number in poverty), and obviously inequitable </w:t>
      </w:r>
      <w:r w:rsidR="00BC09D9">
        <w:rPr>
          <w:rFonts w:ascii="Times New Roman" w:hAnsi="Times New Roman" w:cs="Times New Roman"/>
          <w:color w:val="333333"/>
        </w:rPr>
        <w:t>(</w:t>
      </w:r>
      <w:r w:rsidR="00BC09D9" w:rsidRPr="00F127AD">
        <w:rPr>
          <w:rFonts w:ascii="Times New Roman" w:hAnsi="Times New Roman" w:cs="Times New Roman"/>
          <w:color w:val="333333"/>
        </w:rPr>
        <w:t>it imposes a higher burden on the poor than the rich</w:t>
      </w:r>
      <w:r w:rsidR="00BC09D9">
        <w:rPr>
          <w:rFonts w:ascii="Times New Roman" w:hAnsi="Times New Roman" w:cs="Times New Roman"/>
          <w:color w:val="333333"/>
        </w:rPr>
        <w:t>)</w:t>
      </w:r>
      <w:r w:rsidR="00BC09D9" w:rsidRPr="00F127AD">
        <w:rPr>
          <w:rFonts w:ascii="Times New Roman" w:hAnsi="Times New Roman" w:cs="Times New Roman"/>
          <w:color w:val="333333"/>
        </w:rPr>
        <w:t xml:space="preserve">; it is also frequently </w:t>
      </w:r>
      <w:r w:rsidR="00E60484">
        <w:rPr>
          <w:rFonts w:ascii="Times New Roman" w:hAnsi="Times New Roman" w:cs="Times New Roman"/>
          <w:color w:val="333333"/>
        </w:rPr>
        <w:t>a</w:t>
      </w:r>
      <w:r w:rsidR="00BC09D9">
        <w:rPr>
          <w:rFonts w:ascii="Times New Roman" w:hAnsi="Times New Roman" w:cs="Times New Roman"/>
          <w:color w:val="333333"/>
        </w:rPr>
        <w:t>ssociated with premature drop</w:t>
      </w:r>
      <w:r w:rsidR="009F3FF1">
        <w:rPr>
          <w:rFonts w:ascii="Times New Roman" w:hAnsi="Times New Roman" w:cs="Times New Roman"/>
          <w:color w:val="333333"/>
        </w:rPr>
        <w:t>-</w:t>
      </w:r>
      <w:r w:rsidR="00BC09D9">
        <w:rPr>
          <w:rFonts w:ascii="Times New Roman" w:hAnsi="Times New Roman" w:cs="Times New Roman"/>
          <w:color w:val="333333"/>
        </w:rPr>
        <w:t>out and</w:t>
      </w:r>
      <w:r w:rsidR="00E60484">
        <w:rPr>
          <w:rFonts w:ascii="Times New Roman" w:hAnsi="Times New Roman" w:cs="Times New Roman"/>
          <w:color w:val="333333"/>
        </w:rPr>
        <w:t xml:space="preserve"> high interest household debt</w:t>
      </w:r>
      <w:r>
        <w:rPr>
          <w:rFonts w:ascii="Times New Roman" w:hAnsi="Times New Roman" w:cs="Times New Roman"/>
          <w:color w:val="333333"/>
        </w:rPr>
        <w:t>.</w:t>
      </w:r>
      <w:r w:rsidR="00BC09D9">
        <w:rPr>
          <w:rFonts w:ascii="Times New Roman" w:hAnsi="Times New Roman" w:cs="Times New Roman"/>
          <w:color w:val="333333"/>
        </w:rPr>
        <w:t xml:space="preserve">  </w:t>
      </w:r>
      <w:r w:rsidR="00BC09D9" w:rsidRPr="00F127AD">
        <w:rPr>
          <w:rFonts w:ascii="Times New Roman" w:hAnsi="Times New Roman" w:cs="Times New Roman"/>
          <w:color w:val="333333"/>
        </w:rPr>
        <w:t xml:space="preserve">   </w:t>
      </w:r>
    </w:p>
    <w:p w14:paraId="39F336D4" w14:textId="6887A62F" w:rsidR="0024055F" w:rsidRDefault="00F26DAB" w:rsidP="00B964C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F</w:t>
      </w:r>
      <w:r w:rsidR="00A35B74" w:rsidRPr="008C6870">
        <w:rPr>
          <w:rFonts w:ascii="Times New Roman" w:hAnsi="Times New Roman" w:cs="Times New Roman"/>
          <w:color w:val="333333"/>
        </w:rPr>
        <w:t>ee</w:t>
      </w:r>
      <w:r>
        <w:rPr>
          <w:rFonts w:ascii="Times New Roman" w:hAnsi="Times New Roman" w:cs="Times New Roman"/>
          <w:color w:val="333333"/>
        </w:rPr>
        <w:t>-</w:t>
      </w:r>
      <w:r w:rsidR="00A35B74" w:rsidRPr="008C6870">
        <w:rPr>
          <w:rFonts w:ascii="Times New Roman" w:hAnsi="Times New Roman" w:cs="Times New Roman"/>
          <w:color w:val="333333"/>
        </w:rPr>
        <w:t>paying</w:t>
      </w:r>
      <w:r w:rsidR="00720858" w:rsidRPr="008C6870">
        <w:rPr>
          <w:rFonts w:ascii="Times New Roman" w:hAnsi="Times New Roman" w:cs="Times New Roman"/>
          <w:color w:val="333333"/>
        </w:rPr>
        <w:t xml:space="preserve"> private </w:t>
      </w:r>
      <w:r w:rsidR="00A35B74" w:rsidRPr="008C6870">
        <w:rPr>
          <w:rFonts w:ascii="Times New Roman" w:hAnsi="Times New Roman" w:cs="Times New Roman"/>
          <w:color w:val="333333"/>
        </w:rPr>
        <w:t xml:space="preserve">schools </w:t>
      </w:r>
      <w:r w:rsidR="00B964C2" w:rsidRPr="008C6870">
        <w:rPr>
          <w:rFonts w:ascii="Times New Roman" w:hAnsi="Times New Roman" w:cs="Times New Roman"/>
          <w:color w:val="333333"/>
        </w:rPr>
        <w:t>a</w:t>
      </w:r>
      <w:r w:rsidR="00A35B74" w:rsidRPr="008C6870">
        <w:rPr>
          <w:rFonts w:ascii="Times New Roman" w:hAnsi="Times New Roman" w:cs="Times New Roman"/>
          <w:color w:val="333333"/>
        </w:rPr>
        <w:t xml:space="preserve">re </w:t>
      </w:r>
      <w:r w:rsidR="00720858" w:rsidRPr="008C6870">
        <w:rPr>
          <w:rFonts w:ascii="Times New Roman" w:hAnsi="Times New Roman" w:cs="Times New Roman"/>
          <w:color w:val="333333"/>
        </w:rPr>
        <w:t xml:space="preserve">ten times more likely to be </w:t>
      </w:r>
      <w:r w:rsidR="00A35B74" w:rsidRPr="008C6870">
        <w:rPr>
          <w:rFonts w:ascii="Times New Roman" w:hAnsi="Times New Roman" w:cs="Times New Roman"/>
          <w:color w:val="333333"/>
        </w:rPr>
        <w:t>attended by the relatively rich and exclude the relatively poor</w:t>
      </w:r>
      <w:r w:rsidR="0024055F" w:rsidRPr="008C6870">
        <w:rPr>
          <w:rFonts w:ascii="Times New Roman" w:hAnsi="Times New Roman" w:cs="Times New Roman"/>
          <w:color w:val="333333"/>
        </w:rPr>
        <w:t>, marginalise</w:t>
      </w:r>
      <w:r w:rsidR="00B964C2" w:rsidRPr="008C6870">
        <w:rPr>
          <w:rFonts w:ascii="Times New Roman" w:hAnsi="Times New Roman" w:cs="Times New Roman"/>
          <w:color w:val="333333"/>
        </w:rPr>
        <w:t xml:space="preserve"> </w:t>
      </w:r>
      <w:r w:rsidR="0024055F" w:rsidRPr="008C6870">
        <w:rPr>
          <w:rFonts w:ascii="Times New Roman" w:hAnsi="Times New Roman" w:cs="Times New Roman"/>
          <w:color w:val="333333"/>
        </w:rPr>
        <w:t xml:space="preserve">poor girls more than poor boys and </w:t>
      </w:r>
      <w:proofErr w:type="gramStart"/>
      <w:r w:rsidR="00B964C2" w:rsidRPr="008C6870">
        <w:rPr>
          <w:rFonts w:ascii="Times New Roman" w:hAnsi="Times New Roman" w:cs="Times New Roman"/>
          <w:color w:val="333333"/>
        </w:rPr>
        <w:t>a</w:t>
      </w:r>
      <w:r w:rsidR="0024055F" w:rsidRPr="008C6870">
        <w:rPr>
          <w:rFonts w:ascii="Times New Roman" w:hAnsi="Times New Roman" w:cs="Times New Roman"/>
          <w:color w:val="333333"/>
        </w:rPr>
        <w:t>re located in</w:t>
      </w:r>
      <w:proofErr w:type="gramEnd"/>
      <w:r w:rsidR="0024055F" w:rsidRPr="008C6870">
        <w:rPr>
          <w:rFonts w:ascii="Times New Roman" w:hAnsi="Times New Roman" w:cs="Times New Roman"/>
          <w:color w:val="333333"/>
        </w:rPr>
        <w:t xml:space="preserve"> urban areas where disposable income </w:t>
      </w:r>
      <w:r w:rsidR="00AE6829">
        <w:rPr>
          <w:rFonts w:ascii="Times New Roman" w:hAnsi="Times New Roman" w:cs="Times New Roman"/>
          <w:color w:val="333333"/>
        </w:rPr>
        <w:t>i</w:t>
      </w:r>
      <w:r w:rsidR="0024055F" w:rsidRPr="008C6870">
        <w:rPr>
          <w:rFonts w:ascii="Times New Roman" w:hAnsi="Times New Roman" w:cs="Times New Roman"/>
          <w:color w:val="333333"/>
        </w:rPr>
        <w:t>s highest</w:t>
      </w:r>
      <w:r w:rsidR="00683170">
        <w:rPr>
          <w:rFonts w:ascii="Times New Roman" w:hAnsi="Times New Roman" w:cs="Times New Roman"/>
          <w:color w:val="333333"/>
        </w:rPr>
        <w:t>.</w:t>
      </w:r>
      <w:r w:rsidR="0024055F" w:rsidRPr="008C6870">
        <w:rPr>
          <w:rFonts w:ascii="Times New Roman" w:hAnsi="Times New Roman" w:cs="Times New Roman"/>
          <w:color w:val="333333"/>
        </w:rPr>
        <w:t xml:space="preserve"> </w:t>
      </w:r>
    </w:p>
    <w:p w14:paraId="428B3B35" w14:textId="24702071" w:rsidR="00185B5C" w:rsidRDefault="00F26DAB" w:rsidP="00185B5C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</w:t>
      </w:r>
      <w:r w:rsidR="00185B5C" w:rsidRPr="008C6870">
        <w:rPr>
          <w:rFonts w:ascii="Times New Roman" w:hAnsi="Times New Roman" w:cs="Times New Roman"/>
          <w:color w:val="333333"/>
        </w:rPr>
        <w:t xml:space="preserve">he relative </w:t>
      </w:r>
      <w:r w:rsidR="00185B5C">
        <w:rPr>
          <w:rFonts w:ascii="Times New Roman" w:hAnsi="Times New Roman" w:cs="Times New Roman"/>
          <w:color w:val="333333"/>
        </w:rPr>
        <w:t xml:space="preserve">financial </w:t>
      </w:r>
      <w:r w:rsidR="00185B5C" w:rsidRPr="008C6870">
        <w:rPr>
          <w:rFonts w:ascii="Times New Roman" w:hAnsi="Times New Roman" w:cs="Times New Roman"/>
          <w:color w:val="333333"/>
        </w:rPr>
        <w:t xml:space="preserve">burden on households </w:t>
      </w:r>
      <w:r w:rsidR="00185B5C">
        <w:rPr>
          <w:rFonts w:ascii="Times New Roman" w:hAnsi="Times New Roman" w:cs="Times New Roman"/>
          <w:color w:val="333333"/>
        </w:rPr>
        <w:t xml:space="preserve">is </w:t>
      </w:r>
      <w:r w:rsidR="00185B5C" w:rsidRPr="008C6870">
        <w:rPr>
          <w:rFonts w:ascii="Times New Roman" w:hAnsi="Times New Roman" w:cs="Times New Roman"/>
          <w:color w:val="333333"/>
        </w:rPr>
        <w:t xml:space="preserve">more than twice as great in poor rather than rich countries, it is also born most heavily by those who attend NSPs </w:t>
      </w:r>
      <w:r w:rsidR="00AE6829">
        <w:rPr>
          <w:rFonts w:ascii="Times New Roman" w:hAnsi="Times New Roman" w:cs="Times New Roman"/>
          <w:color w:val="333333"/>
        </w:rPr>
        <w:t>rather than publicly financed schools</w:t>
      </w:r>
      <w:r w:rsidR="00185B5C" w:rsidRPr="008C6870">
        <w:rPr>
          <w:rFonts w:ascii="Times New Roman" w:hAnsi="Times New Roman" w:cs="Times New Roman"/>
          <w:color w:val="333333"/>
        </w:rPr>
        <w:t xml:space="preserve">. </w:t>
      </w:r>
    </w:p>
    <w:p w14:paraId="726B3213" w14:textId="7C995794" w:rsidR="00732E88" w:rsidRDefault="00DA7B4F" w:rsidP="00185B5C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D</w:t>
      </w:r>
      <w:r w:rsidR="00185B5C" w:rsidRPr="008C6870">
        <w:rPr>
          <w:rFonts w:ascii="Times New Roman" w:hAnsi="Times New Roman" w:cs="Times New Roman"/>
          <w:color w:val="333333"/>
        </w:rPr>
        <w:t>isappointingly it turns out that public schools are often not free</w:t>
      </w:r>
      <w:r>
        <w:rPr>
          <w:rFonts w:ascii="Times New Roman" w:hAnsi="Times New Roman" w:cs="Times New Roman"/>
          <w:color w:val="333333"/>
        </w:rPr>
        <w:t>,</w:t>
      </w:r>
      <w:r w:rsidR="00185B5C" w:rsidRPr="008C6870">
        <w:rPr>
          <w:rFonts w:ascii="Times New Roman" w:hAnsi="Times New Roman" w:cs="Times New Roman"/>
          <w:color w:val="333333"/>
        </w:rPr>
        <w:t xml:space="preserve"> with a third of all costs to households arising from attendance in public schools. </w:t>
      </w:r>
    </w:p>
    <w:p w14:paraId="156CEA3B" w14:textId="3E6770E6" w:rsidR="00185B5C" w:rsidRPr="00185B5C" w:rsidRDefault="007D1763" w:rsidP="00185B5C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</w:t>
      </w:r>
      <w:r w:rsidR="00185B5C" w:rsidRPr="008C6870">
        <w:rPr>
          <w:rFonts w:ascii="Times New Roman" w:hAnsi="Times New Roman" w:cs="Times New Roman"/>
          <w:color w:val="333333"/>
        </w:rPr>
        <w:t>s countries get richer</w:t>
      </w:r>
      <w:r>
        <w:rPr>
          <w:rFonts w:ascii="Times New Roman" w:hAnsi="Times New Roman" w:cs="Times New Roman"/>
          <w:color w:val="333333"/>
        </w:rPr>
        <w:t>,</w:t>
      </w:r>
      <w:r w:rsidR="00185B5C" w:rsidRPr="008C6870">
        <w:rPr>
          <w:rFonts w:ascii="Times New Roman" w:hAnsi="Times New Roman" w:cs="Times New Roman"/>
          <w:color w:val="333333"/>
        </w:rPr>
        <w:t xml:space="preserve"> it is more likely that direct costs to households fall</w:t>
      </w:r>
      <w:r w:rsidR="00135B55">
        <w:rPr>
          <w:rFonts w:ascii="Times New Roman" w:hAnsi="Times New Roman" w:cs="Times New Roman"/>
          <w:color w:val="333333"/>
        </w:rPr>
        <w:t>,</w:t>
      </w:r>
      <w:r w:rsidR="00185B5C" w:rsidRPr="008C6870">
        <w:rPr>
          <w:rFonts w:ascii="Times New Roman" w:hAnsi="Times New Roman" w:cs="Times New Roman"/>
          <w:color w:val="333333"/>
        </w:rPr>
        <w:t xml:space="preserve"> relative to GDP per capita</w:t>
      </w:r>
      <w:r w:rsidR="00135B55">
        <w:rPr>
          <w:rFonts w:ascii="Times New Roman" w:hAnsi="Times New Roman" w:cs="Times New Roman"/>
          <w:color w:val="333333"/>
        </w:rPr>
        <w:t>. U</w:t>
      </w:r>
      <w:r w:rsidR="00185B5C" w:rsidRPr="008C6870">
        <w:rPr>
          <w:rFonts w:ascii="Times New Roman" w:hAnsi="Times New Roman" w:cs="Times New Roman"/>
          <w:color w:val="333333"/>
        </w:rPr>
        <w:t>nfortunately</w:t>
      </w:r>
      <w:r w:rsidR="00135B55">
        <w:rPr>
          <w:rFonts w:ascii="Times New Roman" w:hAnsi="Times New Roman" w:cs="Times New Roman"/>
          <w:color w:val="333333"/>
        </w:rPr>
        <w:t>,</w:t>
      </w:r>
      <w:r w:rsidR="00185B5C" w:rsidRPr="008C6870">
        <w:rPr>
          <w:rFonts w:ascii="Times New Roman" w:hAnsi="Times New Roman" w:cs="Times New Roman"/>
          <w:color w:val="333333"/>
        </w:rPr>
        <w:t xml:space="preserve"> the opposite also tends to be true</w:t>
      </w:r>
      <w:r w:rsidR="00135B55">
        <w:rPr>
          <w:rFonts w:ascii="Times New Roman" w:hAnsi="Times New Roman" w:cs="Times New Roman"/>
          <w:color w:val="333333"/>
        </w:rPr>
        <w:t>,</w:t>
      </w:r>
      <w:r w:rsidR="00185B5C" w:rsidRPr="008C6870">
        <w:rPr>
          <w:rFonts w:ascii="Times New Roman" w:hAnsi="Times New Roman" w:cs="Times New Roman"/>
          <w:color w:val="333333"/>
        </w:rPr>
        <w:t xml:space="preserve"> suggesting a growth strategy based on NSPs may be </w:t>
      </w:r>
      <w:r w:rsidR="00185B5C">
        <w:rPr>
          <w:rFonts w:ascii="Times New Roman" w:hAnsi="Times New Roman" w:cs="Times New Roman"/>
          <w:color w:val="333333"/>
        </w:rPr>
        <w:t xml:space="preserve">fundamentally inequitable and </w:t>
      </w:r>
      <w:proofErr w:type="gramStart"/>
      <w:r w:rsidR="00185B5C">
        <w:rPr>
          <w:rFonts w:ascii="Times New Roman" w:hAnsi="Times New Roman" w:cs="Times New Roman"/>
          <w:color w:val="333333"/>
        </w:rPr>
        <w:t>counter</w:t>
      </w:r>
      <w:r w:rsidR="0063121D">
        <w:rPr>
          <w:rFonts w:ascii="Times New Roman" w:hAnsi="Times New Roman" w:cs="Times New Roman"/>
          <w:color w:val="333333"/>
        </w:rPr>
        <w:t>-</w:t>
      </w:r>
      <w:r w:rsidR="00185B5C">
        <w:rPr>
          <w:rFonts w:ascii="Times New Roman" w:hAnsi="Times New Roman" w:cs="Times New Roman"/>
          <w:color w:val="333333"/>
        </w:rPr>
        <w:t>factual</w:t>
      </w:r>
      <w:proofErr w:type="gramEnd"/>
      <w:r w:rsidR="009237AB">
        <w:rPr>
          <w:rFonts w:ascii="Times New Roman" w:hAnsi="Times New Roman" w:cs="Times New Roman"/>
          <w:color w:val="333333"/>
        </w:rPr>
        <w:t>.</w:t>
      </w:r>
      <w:r w:rsidR="00185B5C">
        <w:rPr>
          <w:rFonts w:ascii="Times New Roman" w:hAnsi="Times New Roman" w:cs="Times New Roman"/>
          <w:color w:val="333333"/>
        </w:rPr>
        <w:t xml:space="preserve"> </w:t>
      </w:r>
    </w:p>
    <w:p w14:paraId="0E629F7F" w14:textId="4D8B80AC" w:rsidR="009D3EA1" w:rsidRPr="00F127AD" w:rsidRDefault="0063121D" w:rsidP="00F127AD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</w:t>
      </w:r>
      <w:r w:rsidR="0024055F" w:rsidRPr="008C6870">
        <w:rPr>
          <w:rFonts w:ascii="Times New Roman" w:hAnsi="Times New Roman" w:cs="Times New Roman"/>
          <w:color w:val="333333"/>
        </w:rPr>
        <w:t>chool choice is only available to those who have the financial resources to exercise that choice</w:t>
      </w:r>
      <w:r>
        <w:rPr>
          <w:rFonts w:ascii="Times New Roman" w:hAnsi="Times New Roman" w:cs="Times New Roman"/>
          <w:color w:val="333333"/>
        </w:rPr>
        <w:t>. S</w:t>
      </w:r>
      <w:r w:rsidR="00B04571" w:rsidRPr="008C6870">
        <w:rPr>
          <w:rFonts w:ascii="Times New Roman" w:hAnsi="Times New Roman" w:cs="Times New Roman"/>
          <w:color w:val="333333"/>
        </w:rPr>
        <w:t>econd best proxies that are supposed to empower households (</w:t>
      </w:r>
      <w:proofErr w:type="gramStart"/>
      <w:r w:rsidR="00B04571" w:rsidRPr="008C6870">
        <w:rPr>
          <w:rFonts w:ascii="Times New Roman" w:hAnsi="Times New Roman" w:cs="Times New Roman"/>
          <w:color w:val="333333"/>
        </w:rPr>
        <w:t>e.g</w:t>
      </w:r>
      <w:r>
        <w:rPr>
          <w:rFonts w:ascii="Times New Roman" w:hAnsi="Times New Roman" w:cs="Times New Roman"/>
          <w:color w:val="333333"/>
        </w:rPr>
        <w:t>.</w:t>
      </w:r>
      <w:proofErr w:type="gramEnd"/>
      <w:r w:rsidR="00B04571" w:rsidRPr="008C6870">
        <w:rPr>
          <w:rFonts w:ascii="Times New Roman" w:hAnsi="Times New Roman" w:cs="Times New Roman"/>
          <w:color w:val="333333"/>
        </w:rPr>
        <w:t xml:space="preserve"> </w:t>
      </w:r>
      <w:r w:rsidR="00B04571" w:rsidRPr="008C6870">
        <w:rPr>
          <w:rFonts w:ascii="Times New Roman" w:hAnsi="Times New Roman" w:cs="Times New Roman"/>
          <w:color w:val="333333"/>
        </w:rPr>
        <w:lastRenderedPageBreak/>
        <w:t>vouchers, cash transfer</w:t>
      </w:r>
      <w:r w:rsidR="00355EB3">
        <w:rPr>
          <w:rFonts w:ascii="Times New Roman" w:hAnsi="Times New Roman" w:cs="Times New Roman"/>
          <w:color w:val="333333"/>
        </w:rPr>
        <w:t>s</w:t>
      </w:r>
      <w:r w:rsidR="00B04571" w:rsidRPr="008C6870">
        <w:rPr>
          <w:rFonts w:ascii="Times New Roman" w:hAnsi="Times New Roman" w:cs="Times New Roman"/>
          <w:color w:val="333333"/>
        </w:rPr>
        <w:t>) have conspicuously failed to become the education financing modality of choice for most governments</w:t>
      </w:r>
      <w:r w:rsidR="009237AB">
        <w:rPr>
          <w:rFonts w:ascii="Times New Roman" w:hAnsi="Times New Roman" w:cs="Times New Roman"/>
          <w:color w:val="333333"/>
        </w:rPr>
        <w:t>.</w:t>
      </w:r>
    </w:p>
    <w:p w14:paraId="788D783E" w14:textId="326EA1A8" w:rsidR="00EC7212" w:rsidRDefault="00214B8F" w:rsidP="00EC721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L</w:t>
      </w:r>
      <w:r w:rsidR="004D0AF9" w:rsidRPr="008C6870">
        <w:rPr>
          <w:rFonts w:ascii="Times New Roman" w:hAnsi="Times New Roman" w:cs="Times New Roman"/>
          <w:color w:val="333333"/>
        </w:rPr>
        <w:t>ow</w:t>
      </w:r>
      <w:r>
        <w:rPr>
          <w:rFonts w:ascii="Times New Roman" w:hAnsi="Times New Roman" w:cs="Times New Roman"/>
          <w:color w:val="333333"/>
        </w:rPr>
        <w:t>-</w:t>
      </w:r>
      <w:r w:rsidR="004D0AF9" w:rsidRPr="008C6870">
        <w:rPr>
          <w:rFonts w:ascii="Times New Roman" w:hAnsi="Times New Roman" w:cs="Times New Roman"/>
          <w:color w:val="333333"/>
        </w:rPr>
        <w:t>price schooling depends on low</w:t>
      </w:r>
      <w:r>
        <w:rPr>
          <w:rFonts w:ascii="Times New Roman" w:hAnsi="Times New Roman" w:cs="Times New Roman"/>
          <w:color w:val="333333"/>
        </w:rPr>
        <w:t>-</w:t>
      </w:r>
      <w:r w:rsidR="004D0AF9" w:rsidRPr="008C6870">
        <w:rPr>
          <w:rFonts w:ascii="Times New Roman" w:hAnsi="Times New Roman" w:cs="Times New Roman"/>
          <w:color w:val="333333"/>
        </w:rPr>
        <w:t>cost teachers who</w:t>
      </w:r>
      <w:r w:rsidR="00500794">
        <w:rPr>
          <w:rFonts w:ascii="Times New Roman" w:hAnsi="Times New Roman" w:cs="Times New Roman"/>
          <w:color w:val="333333"/>
        </w:rPr>
        <w:t xml:space="preserve"> </w:t>
      </w:r>
      <w:r w:rsidR="004D0AF9" w:rsidRPr="008C6870">
        <w:rPr>
          <w:rFonts w:ascii="Times New Roman" w:hAnsi="Times New Roman" w:cs="Times New Roman"/>
          <w:color w:val="333333"/>
        </w:rPr>
        <w:t xml:space="preserve">lack teaching qualifications, contracts of employment or meaningful career development pathways; they </w:t>
      </w:r>
      <w:r w:rsidR="00D72388">
        <w:rPr>
          <w:rFonts w:ascii="Times New Roman" w:hAnsi="Times New Roman" w:cs="Times New Roman"/>
          <w:color w:val="333333"/>
        </w:rPr>
        <w:t xml:space="preserve">often </w:t>
      </w:r>
      <w:r>
        <w:rPr>
          <w:rFonts w:ascii="Times New Roman" w:hAnsi="Times New Roman" w:cs="Times New Roman"/>
          <w:color w:val="333333"/>
        </w:rPr>
        <w:t xml:space="preserve">work </w:t>
      </w:r>
      <w:r w:rsidR="00D72388">
        <w:rPr>
          <w:rFonts w:ascii="Times New Roman" w:hAnsi="Times New Roman" w:cs="Times New Roman"/>
          <w:color w:val="333333"/>
        </w:rPr>
        <w:t>part time</w:t>
      </w:r>
      <w:r w:rsidR="00500794">
        <w:rPr>
          <w:rFonts w:ascii="Times New Roman" w:hAnsi="Times New Roman" w:cs="Times New Roman"/>
          <w:color w:val="333333"/>
        </w:rPr>
        <w:t xml:space="preserve">, </w:t>
      </w:r>
      <w:r w:rsidR="00233928" w:rsidRPr="008C6870">
        <w:rPr>
          <w:rFonts w:ascii="Times New Roman" w:hAnsi="Times New Roman" w:cs="Times New Roman"/>
          <w:color w:val="333333"/>
        </w:rPr>
        <w:t xml:space="preserve">may </w:t>
      </w:r>
      <w:r w:rsidR="00B964C2" w:rsidRPr="008C6870">
        <w:rPr>
          <w:rFonts w:ascii="Times New Roman" w:hAnsi="Times New Roman" w:cs="Times New Roman"/>
          <w:color w:val="333333"/>
        </w:rPr>
        <w:t>be paid</w:t>
      </w:r>
      <w:r w:rsidR="00D72388">
        <w:rPr>
          <w:rFonts w:ascii="Times New Roman" w:hAnsi="Times New Roman" w:cs="Times New Roman"/>
          <w:color w:val="333333"/>
        </w:rPr>
        <w:t xml:space="preserve"> </w:t>
      </w:r>
      <w:r w:rsidR="00500794">
        <w:rPr>
          <w:rFonts w:ascii="Times New Roman" w:hAnsi="Times New Roman" w:cs="Times New Roman"/>
          <w:color w:val="333333"/>
        </w:rPr>
        <w:t xml:space="preserve">on a piecework basis, and </w:t>
      </w:r>
      <w:r w:rsidR="004A26F1">
        <w:rPr>
          <w:rFonts w:ascii="Times New Roman" w:hAnsi="Times New Roman" w:cs="Times New Roman"/>
          <w:color w:val="333333"/>
        </w:rPr>
        <w:t>can earn as little as one eight</w:t>
      </w:r>
      <w:r w:rsidR="008F2E1F">
        <w:rPr>
          <w:rFonts w:ascii="Times New Roman" w:hAnsi="Times New Roman" w:cs="Times New Roman"/>
          <w:color w:val="333333"/>
        </w:rPr>
        <w:t>h</w:t>
      </w:r>
      <w:r w:rsidR="004A26F1">
        <w:rPr>
          <w:rFonts w:ascii="Times New Roman" w:hAnsi="Times New Roman" w:cs="Times New Roman"/>
          <w:color w:val="333333"/>
        </w:rPr>
        <w:t xml:space="preserve"> of</w:t>
      </w:r>
      <w:r w:rsidR="008F2E1F">
        <w:rPr>
          <w:rFonts w:ascii="Times New Roman" w:hAnsi="Times New Roman" w:cs="Times New Roman"/>
          <w:color w:val="333333"/>
        </w:rPr>
        <w:t xml:space="preserve"> a </w:t>
      </w:r>
      <w:proofErr w:type="gramStart"/>
      <w:r w:rsidR="004A26F1">
        <w:rPr>
          <w:rFonts w:ascii="Times New Roman" w:hAnsi="Times New Roman" w:cs="Times New Roman"/>
          <w:color w:val="333333"/>
        </w:rPr>
        <w:t>fully</w:t>
      </w:r>
      <w:r w:rsidR="0099545B">
        <w:rPr>
          <w:rFonts w:ascii="Times New Roman" w:hAnsi="Times New Roman" w:cs="Times New Roman"/>
          <w:color w:val="333333"/>
        </w:rPr>
        <w:t>-</w:t>
      </w:r>
      <w:r w:rsidR="004A26F1">
        <w:rPr>
          <w:rFonts w:ascii="Times New Roman" w:hAnsi="Times New Roman" w:cs="Times New Roman"/>
          <w:color w:val="333333"/>
        </w:rPr>
        <w:t>qualified</w:t>
      </w:r>
      <w:proofErr w:type="gramEnd"/>
      <w:r w:rsidR="004A26F1">
        <w:rPr>
          <w:rFonts w:ascii="Times New Roman" w:hAnsi="Times New Roman" w:cs="Times New Roman"/>
          <w:color w:val="333333"/>
        </w:rPr>
        <w:t xml:space="preserve"> government teacher.   </w:t>
      </w:r>
      <w:r w:rsidR="00500794">
        <w:rPr>
          <w:rFonts w:ascii="Times New Roman" w:hAnsi="Times New Roman" w:cs="Times New Roman"/>
          <w:color w:val="333333"/>
        </w:rPr>
        <w:t xml:space="preserve"> </w:t>
      </w:r>
    </w:p>
    <w:p w14:paraId="664AC9B3" w14:textId="593C7A94" w:rsidR="00B45AA5" w:rsidRPr="00332F04" w:rsidRDefault="00EC7212" w:rsidP="00EC721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lang w:val="en-US"/>
        </w:rPr>
        <w:t xml:space="preserve">NSPs </w:t>
      </w:r>
      <w:r w:rsidR="00962E6C">
        <w:rPr>
          <w:rFonts w:ascii="Times New Roman" w:hAnsi="Times New Roman" w:cs="Times New Roman"/>
          <w:lang w:val="en-US"/>
        </w:rPr>
        <w:t>often</w:t>
      </w:r>
      <w:r w:rsidRPr="008C6870">
        <w:rPr>
          <w:rFonts w:ascii="Times New Roman" w:hAnsi="Times New Roman" w:cs="Times New Roman"/>
          <w:lang w:val="en-US"/>
        </w:rPr>
        <w:t xml:space="preserve"> market themselves as </w:t>
      </w:r>
      <w:proofErr w:type="spellStart"/>
      <w:r w:rsidRPr="008C6870">
        <w:rPr>
          <w:rFonts w:ascii="Times New Roman" w:hAnsi="Times New Roman" w:cs="Times New Roman"/>
          <w:lang w:val="en-US"/>
        </w:rPr>
        <w:t>maximi</w:t>
      </w:r>
      <w:r w:rsidR="0099545B">
        <w:rPr>
          <w:rFonts w:ascii="Times New Roman" w:hAnsi="Times New Roman" w:cs="Times New Roman"/>
          <w:lang w:val="en-US"/>
        </w:rPr>
        <w:t>s</w:t>
      </w:r>
      <w:r w:rsidRPr="008C6870">
        <w:rPr>
          <w:rFonts w:ascii="Times New Roman" w:hAnsi="Times New Roman" w:cs="Times New Roman"/>
          <w:lang w:val="en-US"/>
        </w:rPr>
        <w:t>ing</w:t>
      </w:r>
      <w:proofErr w:type="spellEnd"/>
      <w:r w:rsidRPr="008C6870">
        <w:rPr>
          <w:rFonts w:ascii="Times New Roman" w:hAnsi="Times New Roman" w:cs="Times New Roman"/>
          <w:lang w:val="en-US"/>
        </w:rPr>
        <w:t xml:space="preserve"> results on high stakes </w:t>
      </w:r>
      <w:r w:rsidR="00F127AD">
        <w:rPr>
          <w:rFonts w:ascii="Times New Roman" w:hAnsi="Times New Roman" w:cs="Times New Roman"/>
          <w:lang w:val="en-US"/>
        </w:rPr>
        <w:t xml:space="preserve">selection </w:t>
      </w:r>
      <w:r w:rsidRPr="008C6870">
        <w:rPr>
          <w:rFonts w:ascii="Times New Roman" w:hAnsi="Times New Roman" w:cs="Times New Roman"/>
          <w:lang w:val="en-US"/>
        </w:rPr>
        <w:t>examinations</w:t>
      </w:r>
      <w:r w:rsidR="00962E6C">
        <w:rPr>
          <w:rFonts w:ascii="Times New Roman" w:hAnsi="Times New Roman" w:cs="Times New Roman"/>
          <w:lang w:val="en-US"/>
        </w:rPr>
        <w:t xml:space="preserve">; </w:t>
      </w:r>
      <w:r w:rsidR="004A26F1">
        <w:rPr>
          <w:rFonts w:ascii="Times New Roman" w:hAnsi="Times New Roman" w:cs="Times New Roman"/>
          <w:lang w:val="en-US"/>
        </w:rPr>
        <w:t>if controls for selective entry are used</w:t>
      </w:r>
      <w:r w:rsidR="00B8508F">
        <w:rPr>
          <w:rFonts w:ascii="Times New Roman" w:hAnsi="Times New Roman" w:cs="Times New Roman"/>
          <w:lang w:val="en-US"/>
        </w:rPr>
        <w:t>,</w:t>
      </w:r>
      <w:r w:rsidR="004A26F1">
        <w:rPr>
          <w:rFonts w:ascii="Times New Roman" w:hAnsi="Times New Roman" w:cs="Times New Roman"/>
          <w:lang w:val="en-US"/>
        </w:rPr>
        <w:t xml:space="preserve"> performance advantages tend to reduce or disappear</w:t>
      </w:r>
      <w:r w:rsidR="00B45AA5">
        <w:rPr>
          <w:rFonts w:ascii="Times New Roman" w:hAnsi="Times New Roman" w:cs="Times New Roman"/>
          <w:lang w:val="en-US"/>
        </w:rPr>
        <w:t>.</w:t>
      </w:r>
    </w:p>
    <w:p w14:paraId="5E28B683" w14:textId="67F96F85" w:rsidR="008C6870" w:rsidRPr="008C6870" w:rsidRDefault="00B45AA5" w:rsidP="00EC721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lang w:val="en-US"/>
        </w:rPr>
        <w:t>T</w:t>
      </w:r>
      <w:r w:rsidR="00962E6C">
        <w:rPr>
          <w:rFonts w:ascii="Times New Roman" w:hAnsi="Times New Roman" w:cs="Times New Roman"/>
          <w:lang w:val="en-US"/>
        </w:rPr>
        <w:t>here is li</w:t>
      </w:r>
      <w:r w:rsidR="00500794">
        <w:rPr>
          <w:rFonts w:ascii="Times New Roman" w:hAnsi="Times New Roman" w:cs="Times New Roman"/>
          <w:lang w:val="en-US"/>
        </w:rPr>
        <w:t>mited</w:t>
      </w:r>
      <w:r w:rsidR="00962E6C">
        <w:rPr>
          <w:rFonts w:ascii="Times New Roman" w:hAnsi="Times New Roman" w:cs="Times New Roman"/>
          <w:lang w:val="en-US"/>
        </w:rPr>
        <w:t xml:space="preserve"> evidence that </w:t>
      </w:r>
      <w:r w:rsidR="00683170">
        <w:rPr>
          <w:rFonts w:ascii="Times New Roman" w:hAnsi="Times New Roman" w:cs="Times New Roman"/>
          <w:lang w:val="en-US"/>
        </w:rPr>
        <w:t>many low</w:t>
      </w:r>
      <w:r w:rsidR="00B8508F">
        <w:rPr>
          <w:rFonts w:ascii="Times New Roman" w:hAnsi="Times New Roman" w:cs="Times New Roman"/>
          <w:lang w:val="en-US"/>
        </w:rPr>
        <w:t>-</w:t>
      </w:r>
      <w:r w:rsidR="00683170">
        <w:rPr>
          <w:rFonts w:ascii="Times New Roman" w:hAnsi="Times New Roman" w:cs="Times New Roman"/>
          <w:lang w:val="en-US"/>
        </w:rPr>
        <w:t xml:space="preserve">cost </w:t>
      </w:r>
      <w:r w:rsidR="004A26F1">
        <w:rPr>
          <w:rFonts w:ascii="Times New Roman" w:hAnsi="Times New Roman" w:cs="Times New Roman"/>
          <w:lang w:val="en-US"/>
        </w:rPr>
        <w:t xml:space="preserve">NSPs adopt </w:t>
      </w:r>
      <w:r w:rsidR="00EC7212" w:rsidRPr="008C6870">
        <w:rPr>
          <w:rFonts w:ascii="Times New Roman" w:hAnsi="Times New Roman" w:cs="Times New Roman"/>
          <w:lang w:val="en-US"/>
        </w:rPr>
        <w:t>innovative pedagog</w:t>
      </w:r>
      <w:r w:rsidR="004A26F1">
        <w:rPr>
          <w:rFonts w:ascii="Times New Roman" w:hAnsi="Times New Roman" w:cs="Times New Roman"/>
          <w:lang w:val="en-US"/>
        </w:rPr>
        <w:t xml:space="preserve">y rather than use conventional </w:t>
      </w:r>
      <w:r w:rsidR="00EC7212" w:rsidRPr="008C6870">
        <w:rPr>
          <w:rFonts w:ascii="Times New Roman" w:hAnsi="Times New Roman" w:cs="Times New Roman"/>
          <w:lang w:val="en-US"/>
        </w:rPr>
        <w:t>whole</w:t>
      </w:r>
      <w:r w:rsidR="00B8508F">
        <w:rPr>
          <w:rFonts w:ascii="Times New Roman" w:hAnsi="Times New Roman" w:cs="Times New Roman"/>
          <w:lang w:val="en-US"/>
        </w:rPr>
        <w:t>-</w:t>
      </w:r>
      <w:r w:rsidR="00EC7212" w:rsidRPr="008C6870">
        <w:rPr>
          <w:rFonts w:ascii="Times New Roman" w:hAnsi="Times New Roman" w:cs="Times New Roman"/>
          <w:lang w:val="en-US"/>
        </w:rPr>
        <w:t>class teaching, recall based drilling, examination cramming, high levels of time on task, and powerfully didactic pedagogies – a kin</w:t>
      </w:r>
      <w:r w:rsidR="008C6870" w:rsidRPr="008C6870">
        <w:rPr>
          <w:rFonts w:ascii="Times New Roman" w:hAnsi="Times New Roman" w:cs="Times New Roman"/>
          <w:lang w:val="en-US"/>
        </w:rPr>
        <w:t xml:space="preserve">d of alignment often thought educationally limiting. </w:t>
      </w:r>
    </w:p>
    <w:p w14:paraId="5AEE9B4D" w14:textId="67382DD0" w:rsidR="00EC7212" w:rsidRPr="008C6870" w:rsidRDefault="00B8508F" w:rsidP="00EC721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lang w:val="en-US"/>
        </w:rPr>
        <w:t>S</w:t>
      </w:r>
      <w:r w:rsidR="008C6870" w:rsidRPr="008C6870">
        <w:rPr>
          <w:rFonts w:ascii="Times New Roman" w:hAnsi="Times New Roman" w:cs="Times New Roman"/>
          <w:lang w:val="en-US"/>
        </w:rPr>
        <w:t xml:space="preserve">hadow systems of </w:t>
      </w:r>
      <w:r w:rsidR="00EC7212" w:rsidRPr="008C6870">
        <w:rPr>
          <w:rFonts w:ascii="Times New Roman" w:hAnsi="Times New Roman" w:cs="Times New Roman"/>
          <w:lang w:val="en-US"/>
        </w:rPr>
        <w:t xml:space="preserve">“second chance” </w:t>
      </w:r>
      <w:r w:rsidR="00B45AA5">
        <w:rPr>
          <w:rFonts w:ascii="Times New Roman" w:hAnsi="Times New Roman" w:cs="Times New Roman"/>
          <w:lang w:val="en-US"/>
        </w:rPr>
        <w:t xml:space="preserve">NSP </w:t>
      </w:r>
      <w:r w:rsidR="008C6870" w:rsidRPr="008C6870">
        <w:rPr>
          <w:rFonts w:ascii="Times New Roman" w:hAnsi="Times New Roman" w:cs="Times New Roman"/>
          <w:lang w:val="en-US"/>
        </w:rPr>
        <w:t xml:space="preserve">schools </w:t>
      </w:r>
      <w:r w:rsidR="00EC7212" w:rsidRPr="008C6870">
        <w:rPr>
          <w:rFonts w:ascii="Times New Roman" w:hAnsi="Times New Roman" w:cs="Times New Roman"/>
          <w:lang w:val="en-US"/>
        </w:rPr>
        <w:t xml:space="preserve">that provide private tuition to those </w:t>
      </w:r>
      <w:r w:rsidR="008C6870" w:rsidRPr="008C6870">
        <w:rPr>
          <w:rFonts w:ascii="Times New Roman" w:hAnsi="Times New Roman" w:cs="Times New Roman"/>
          <w:lang w:val="en-US"/>
        </w:rPr>
        <w:t xml:space="preserve">taking examinations </w:t>
      </w:r>
      <w:r w:rsidR="00962E6C">
        <w:rPr>
          <w:rFonts w:ascii="Times New Roman" w:hAnsi="Times New Roman" w:cs="Times New Roman"/>
          <w:lang w:val="en-US"/>
        </w:rPr>
        <w:t xml:space="preserve">or </w:t>
      </w:r>
      <w:r w:rsidR="008C6870" w:rsidRPr="008C6870">
        <w:rPr>
          <w:rFonts w:ascii="Times New Roman" w:hAnsi="Times New Roman" w:cs="Times New Roman"/>
          <w:lang w:val="en-US"/>
        </w:rPr>
        <w:t xml:space="preserve">retaking </w:t>
      </w:r>
      <w:r w:rsidR="00962E6C">
        <w:rPr>
          <w:rFonts w:ascii="Times New Roman" w:hAnsi="Times New Roman" w:cs="Times New Roman"/>
          <w:lang w:val="en-US"/>
        </w:rPr>
        <w:t xml:space="preserve">after failure </w:t>
      </w:r>
      <w:r w:rsidR="00944DB9">
        <w:rPr>
          <w:rFonts w:ascii="Times New Roman" w:hAnsi="Times New Roman" w:cs="Times New Roman"/>
          <w:lang w:val="en-US"/>
        </w:rPr>
        <w:t>to pass</w:t>
      </w:r>
      <w:r w:rsidR="00580F8E">
        <w:rPr>
          <w:rFonts w:ascii="Times New Roman" w:hAnsi="Times New Roman" w:cs="Times New Roman"/>
          <w:lang w:val="en-US"/>
        </w:rPr>
        <w:t>,</w:t>
      </w:r>
      <w:r w:rsidR="00944DB9">
        <w:rPr>
          <w:rFonts w:ascii="Times New Roman" w:hAnsi="Times New Roman" w:cs="Times New Roman"/>
          <w:lang w:val="en-US"/>
        </w:rPr>
        <w:t xml:space="preserve"> </w:t>
      </w:r>
      <w:r w:rsidR="00EC7212" w:rsidRPr="008C6870">
        <w:rPr>
          <w:rFonts w:ascii="Times New Roman" w:hAnsi="Times New Roman" w:cs="Times New Roman"/>
          <w:lang w:val="en-US"/>
        </w:rPr>
        <w:t xml:space="preserve">add considerably to costs to households </w:t>
      </w:r>
      <w:r w:rsidR="00944DB9">
        <w:rPr>
          <w:rFonts w:ascii="Times New Roman" w:hAnsi="Times New Roman" w:cs="Times New Roman"/>
          <w:lang w:val="en-US"/>
        </w:rPr>
        <w:t xml:space="preserve">and </w:t>
      </w:r>
      <w:r w:rsidR="00B45AA5">
        <w:rPr>
          <w:rFonts w:ascii="Times New Roman" w:hAnsi="Times New Roman" w:cs="Times New Roman"/>
          <w:lang w:val="en-US"/>
        </w:rPr>
        <w:t xml:space="preserve">more </w:t>
      </w:r>
      <w:r w:rsidR="008C6870" w:rsidRPr="008C6870">
        <w:rPr>
          <w:rFonts w:ascii="Times New Roman" w:hAnsi="Times New Roman" w:cs="Times New Roman"/>
          <w:lang w:val="en-US"/>
        </w:rPr>
        <w:t xml:space="preserve">may be </w:t>
      </w:r>
      <w:r w:rsidR="00EC7212" w:rsidRPr="008C6870">
        <w:rPr>
          <w:rFonts w:ascii="Times New Roman" w:hAnsi="Times New Roman" w:cs="Times New Roman"/>
          <w:lang w:val="en-US"/>
        </w:rPr>
        <w:t>spen</w:t>
      </w:r>
      <w:r w:rsidR="008C6870" w:rsidRPr="008C6870">
        <w:rPr>
          <w:rFonts w:ascii="Times New Roman" w:hAnsi="Times New Roman" w:cs="Times New Roman"/>
          <w:lang w:val="en-US"/>
        </w:rPr>
        <w:t>t</w:t>
      </w:r>
      <w:r w:rsidR="00EC7212" w:rsidRPr="008C6870">
        <w:rPr>
          <w:rFonts w:ascii="Times New Roman" w:hAnsi="Times New Roman" w:cs="Times New Roman"/>
          <w:lang w:val="en-US"/>
        </w:rPr>
        <w:t xml:space="preserve"> on private tuition than on school fees. </w:t>
      </w:r>
    </w:p>
    <w:p w14:paraId="0EC8BF67" w14:textId="1C6B4D3A" w:rsidR="002379C3" w:rsidRPr="008C6870" w:rsidRDefault="00580F8E" w:rsidP="006E0C9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U</w:t>
      </w:r>
      <w:r w:rsidR="00CD0F31" w:rsidRPr="008C6870">
        <w:rPr>
          <w:rFonts w:ascii="Times New Roman" w:hAnsi="Times New Roman" w:cs="Times New Roman"/>
          <w:color w:val="333333"/>
        </w:rPr>
        <w:t xml:space="preserve">nsubsidised schools </w:t>
      </w:r>
      <w:r w:rsidR="00B04571" w:rsidRPr="008C6870">
        <w:rPr>
          <w:rFonts w:ascii="Times New Roman" w:hAnsi="Times New Roman" w:cs="Times New Roman"/>
          <w:color w:val="333333"/>
        </w:rPr>
        <w:t xml:space="preserve">generally do not </w:t>
      </w:r>
      <w:r w:rsidR="00CD0F31" w:rsidRPr="008C6870">
        <w:rPr>
          <w:rFonts w:ascii="Times New Roman" w:hAnsi="Times New Roman" w:cs="Times New Roman"/>
          <w:color w:val="333333"/>
        </w:rPr>
        <w:t>enrol out</w:t>
      </w:r>
      <w:r w:rsidR="000B7CB2" w:rsidRPr="008C6870">
        <w:rPr>
          <w:rFonts w:ascii="Times New Roman" w:hAnsi="Times New Roman" w:cs="Times New Roman"/>
          <w:color w:val="333333"/>
        </w:rPr>
        <w:t>-</w:t>
      </w:r>
      <w:r w:rsidR="00CD0F31" w:rsidRPr="008C6870">
        <w:rPr>
          <w:rFonts w:ascii="Times New Roman" w:hAnsi="Times New Roman" w:cs="Times New Roman"/>
          <w:color w:val="333333"/>
        </w:rPr>
        <w:t>of</w:t>
      </w:r>
      <w:r w:rsidR="000B7CB2" w:rsidRPr="008C6870">
        <w:rPr>
          <w:rFonts w:ascii="Times New Roman" w:hAnsi="Times New Roman" w:cs="Times New Roman"/>
          <w:color w:val="333333"/>
        </w:rPr>
        <w:t>-</w:t>
      </w:r>
      <w:r w:rsidR="00CD0F31" w:rsidRPr="008C6870">
        <w:rPr>
          <w:rFonts w:ascii="Times New Roman" w:hAnsi="Times New Roman" w:cs="Times New Roman"/>
          <w:color w:val="333333"/>
        </w:rPr>
        <w:t xml:space="preserve">school children </w:t>
      </w:r>
      <w:r w:rsidR="003E0728" w:rsidRPr="008C6870">
        <w:rPr>
          <w:rFonts w:ascii="Times New Roman" w:hAnsi="Times New Roman" w:cs="Times New Roman"/>
          <w:color w:val="333333"/>
        </w:rPr>
        <w:t>in</w:t>
      </w:r>
      <w:r w:rsidR="00231531" w:rsidRPr="008C6870">
        <w:rPr>
          <w:rFonts w:ascii="Times New Roman" w:hAnsi="Times New Roman" w:cs="Times New Roman"/>
          <w:color w:val="333333"/>
        </w:rPr>
        <w:t xml:space="preserve"> </w:t>
      </w:r>
      <w:r w:rsidR="003E0728" w:rsidRPr="008C6870">
        <w:rPr>
          <w:rFonts w:ascii="Times New Roman" w:hAnsi="Times New Roman" w:cs="Times New Roman"/>
          <w:color w:val="333333"/>
        </w:rPr>
        <w:t>quantity</w:t>
      </w:r>
      <w:r w:rsidR="00944DB9">
        <w:rPr>
          <w:rFonts w:ascii="Times New Roman" w:hAnsi="Times New Roman" w:cs="Times New Roman"/>
          <w:color w:val="333333"/>
        </w:rPr>
        <w:t xml:space="preserve"> as</w:t>
      </w:r>
      <w:r w:rsidR="00481C53" w:rsidRPr="008C6870">
        <w:rPr>
          <w:rFonts w:ascii="Times New Roman" w:hAnsi="Times New Roman" w:cs="Times New Roman"/>
          <w:color w:val="333333"/>
        </w:rPr>
        <w:t xml:space="preserve"> </w:t>
      </w:r>
      <w:r w:rsidR="003E0728" w:rsidRPr="008C6870">
        <w:rPr>
          <w:rFonts w:ascii="Times New Roman" w:hAnsi="Times New Roman" w:cs="Times New Roman"/>
          <w:color w:val="333333"/>
        </w:rPr>
        <w:t>they</w:t>
      </w:r>
      <w:r w:rsidR="00CD0F31" w:rsidRPr="008C6870">
        <w:rPr>
          <w:rFonts w:ascii="Times New Roman" w:hAnsi="Times New Roman" w:cs="Times New Roman"/>
          <w:color w:val="333333"/>
        </w:rPr>
        <w:t xml:space="preserve"> have no independent means of supporting the costs</w:t>
      </w:r>
      <w:r>
        <w:rPr>
          <w:rFonts w:ascii="Times New Roman" w:hAnsi="Times New Roman" w:cs="Times New Roman"/>
          <w:color w:val="333333"/>
        </w:rPr>
        <w:t>. T</w:t>
      </w:r>
      <w:r w:rsidR="00944DB9">
        <w:rPr>
          <w:rFonts w:ascii="Times New Roman" w:hAnsi="Times New Roman" w:cs="Times New Roman"/>
          <w:color w:val="333333"/>
        </w:rPr>
        <w:t xml:space="preserve">hese </w:t>
      </w:r>
      <w:r w:rsidR="00EB2D46" w:rsidRPr="008C6870">
        <w:rPr>
          <w:rFonts w:ascii="Times New Roman" w:hAnsi="Times New Roman" w:cs="Times New Roman"/>
          <w:color w:val="333333"/>
        </w:rPr>
        <w:t>are likely to be higher than regular school enrolment</w:t>
      </w:r>
      <w:r w:rsidR="00481C53" w:rsidRPr="008C6870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481C53" w:rsidRPr="008C6870">
        <w:rPr>
          <w:rFonts w:ascii="Times New Roman" w:hAnsi="Times New Roman" w:cs="Times New Roman"/>
          <w:color w:val="333333"/>
        </w:rPr>
        <w:t>as a result of</w:t>
      </w:r>
      <w:proofErr w:type="gramEnd"/>
      <w:r w:rsidR="00481C53" w:rsidRPr="008C6870">
        <w:rPr>
          <w:rFonts w:ascii="Times New Roman" w:hAnsi="Times New Roman" w:cs="Times New Roman"/>
          <w:color w:val="333333"/>
        </w:rPr>
        <w:t xml:space="preserve"> multiple deprivations</w:t>
      </w:r>
      <w:r w:rsidR="00D74279">
        <w:rPr>
          <w:rFonts w:ascii="Times New Roman" w:hAnsi="Times New Roman" w:cs="Times New Roman"/>
          <w:color w:val="333333"/>
        </w:rPr>
        <w:t>.</w:t>
      </w:r>
      <w:r w:rsidR="00481C53" w:rsidRPr="008C6870">
        <w:rPr>
          <w:rFonts w:ascii="Times New Roman" w:hAnsi="Times New Roman" w:cs="Times New Roman"/>
          <w:color w:val="333333"/>
        </w:rPr>
        <w:t xml:space="preserve"> </w:t>
      </w:r>
      <w:r w:rsidR="00EB2D46" w:rsidRPr="008C6870">
        <w:rPr>
          <w:rFonts w:ascii="Times New Roman" w:hAnsi="Times New Roman" w:cs="Times New Roman"/>
          <w:color w:val="333333"/>
        </w:rPr>
        <w:t xml:space="preserve">  </w:t>
      </w:r>
      <w:r w:rsidR="000B7CB2" w:rsidRPr="008C6870">
        <w:rPr>
          <w:rFonts w:ascii="Times New Roman" w:hAnsi="Times New Roman" w:cs="Times New Roman"/>
          <w:color w:val="333333"/>
        </w:rPr>
        <w:t xml:space="preserve"> </w:t>
      </w:r>
    </w:p>
    <w:p w14:paraId="46639182" w14:textId="5B7E7107" w:rsidR="00EB2D46" w:rsidRPr="008C6870" w:rsidRDefault="00EB2D46" w:rsidP="006E0C92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>NSPs may</w:t>
      </w:r>
      <w:r w:rsidR="00231531" w:rsidRPr="008C6870">
        <w:rPr>
          <w:rFonts w:ascii="Times New Roman" w:hAnsi="Times New Roman" w:cs="Times New Roman"/>
          <w:color w:val="333333"/>
        </w:rPr>
        <w:t xml:space="preserve"> </w:t>
      </w:r>
      <w:r w:rsidRPr="008C6870">
        <w:rPr>
          <w:rFonts w:ascii="Times New Roman" w:hAnsi="Times New Roman" w:cs="Times New Roman"/>
          <w:color w:val="333333"/>
        </w:rPr>
        <w:t xml:space="preserve">compete </w:t>
      </w:r>
      <w:r w:rsidR="000B7CB2" w:rsidRPr="008C6870">
        <w:rPr>
          <w:rFonts w:ascii="Times New Roman" w:hAnsi="Times New Roman" w:cs="Times New Roman"/>
          <w:color w:val="333333"/>
        </w:rPr>
        <w:t>for a limited pool of</w:t>
      </w:r>
      <w:r w:rsidRPr="008C6870">
        <w:rPr>
          <w:rFonts w:ascii="Times New Roman" w:hAnsi="Times New Roman" w:cs="Times New Roman"/>
          <w:color w:val="333333"/>
        </w:rPr>
        <w:t xml:space="preserve"> children </w:t>
      </w:r>
      <w:r w:rsidR="000B7CB2" w:rsidRPr="008C6870">
        <w:rPr>
          <w:rFonts w:ascii="Times New Roman" w:hAnsi="Times New Roman" w:cs="Times New Roman"/>
          <w:color w:val="333333"/>
        </w:rPr>
        <w:t>who can afford fee payments</w:t>
      </w:r>
      <w:r w:rsidR="00D96DC5">
        <w:rPr>
          <w:rFonts w:ascii="Times New Roman" w:hAnsi="Times New Roman" w:cs="Times New Roman"/>
          <w:color w:val="333333"/>
        </w:rPr>
        <w:t>,</w:t>
      </w:r>
      <w:r w:rsidRPr="008C6870">
        <w:rPr>
          <w:rFonts w:ascii="Times New Roman" w:hAnsi="Times New Roman" w:cs="Times New Roman"/>
          <w:color w:val="333333"/>
        </w:rPr>
        <w:t xml:space="preserve"> and </w:t>
      </w:r>
      <w:r w:rsidR="00944DB9">
        <w:rPr>
          <w:rFonts w:ascii="Times New Roman" w:hAnsi="Times New Roman" w:cs="Times New Roman"/>
          <w:color w:val="333333"/>
        </w:rPr>
        <w:t xml:space="preserve">patterns of demand </w:t>
      </w:r>
      <w:r w:rsidRPr="008C6870">
        <w:rPr>
          <w:rFonts w:ascii="Times New Roman" w:hAnsi="Times New Roman" w:cs="Times New Roman"/>
          <w:color w:val="333333"/>
        </w:rPr>
        <w:t>are sensitive to short</w:t>
      </w:r>
      <w:r w:rsidR="00D96DC5">
        <w:rPr>
          <w:rFonts w:ascii="Times New Roman" w:hAnsi="Times New Roman" w:cs="Times New Roman"/>
          <w:color w:val="333333"/>
        </w:rPr>
        <w:t>-</w:t>
      </w:r>
      <w:r w:rsidRPr="008C6870">
        <w:rPr>
          <w:rFonts w:ascii="Times New Roman" w:hAnsi="Times New Roman" w:cs="Times New Roman"/>
          <w:color w:val="333333"/>
        </w:rPr>
        <w:t xml:space="preserve">term fluctuations </w:t>
      </w:r>
      <w:r w:rsidR="00944DB9">
        <w:rPr>
          <w:rFonts w:ascii="Times New Roman" w:hAnsi="Times New Roman" w:cs="Times New Roman"/>
          <w:color w:val="333333"/>
        </w:rPr>
        <w:t xml:space="preserve">leading to volatile patterns of </w:t>
      </w:r>
      <w:r w:rsidR="002379C3" w:rsidRPr="008C6870">
        <w:rPr>
          <w:rFonts w:ascii="Times New Roman" w:hAnsi="Times New Roman" w:cs="Times New Roman"/>
          <w:color w:val="333333"/>
        </w:rPr>
        <w:t>enrolment</w:t>
      </w:r>
      <w:r w:rsidRPr="008C6870">
        <w:rPr>
          <w:rFonts w:ascii="Times New Roman" w:hAnsi="Times New Roman" w:cs="Times New Roman"/>
          <w:color w:val="333333"/>
        </w:rPr>
        <w:t xml:space="preserve"> and </w:t>
      </w:r>
      <w:r w:rsidR="00944DB9">
        <w:rPr>
          <w:rFonts w:ascii="Times New Roman" w:hAnsi="Times New Roman" w:cs="Times New Roman"/>
          <w:color w:val="333333"/>
        </w:rPr>
        <w:t>high rates of school transfer</w:t>
      </w:r>
      <w:r w:rsidR="00D74279">
        <w:rPr>
          <w:rFonts w:ascii="Times New Roman" w:hAnsi="Times New Roman" w:cs="Times New Roman"/>
          <w:color w:val="333333"/>
        </w:rPr>
        <w:t>.</w:t>
      </w:r>
    </w:p>
    <w:p w14:paraId="0CD011EB" w14:textId="7E13E75D" w:rsidR="006C7136" w:rsidRDefault="00D96DC5" w:rsidP="00583E8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</w:t>
      </w:r>
      <w:r w:rsidR="00922CA9" w:rsidRPr="008C6870">
        <w:rPr>
          <w:rFonts w:ascii="Times New Roman" w:hAnsi="Times New Roman" w:cs="Times New Roman"/>
          <w:color w:val="333333"/>
        </w:rPr>
        <w:t>ystemic risk increases as the proportion of enrolments in NSPs increases</w:t>
      </w:r>
      <w:r w:rsidR="006C7136">
        <w:rPr>
          <w:rFonts w:ascii="Times New Roman" w:hAnsi="Times New Roman" w:cs="Times New Roman"/>
          <w:color w:val="333333"/>
        </w:rPr>
        <w:t>;</w:t>
      </w:r>
      <w:r w:rsidR="00922CA9" w:rsidRPr="008C6870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922CA9" w:rsidRPr="008C6870">
        <w:rPr>
          <w:rFonts w:ascii="Times New Roman" w:hAnsi="Times New Roman" w:cs="Times New Roman"/>
          <w:color w:val="333333"/>
        </w:rPr>
        <w:t>publicly</w:t>
      </w:r>
      <w:r w:rsidR="00CC7C22">
        <w:rPr>
          <w:rFonts w:ascii="Times New Roman" w:hAnsi="Times New Roman" w:cs="Times New Roman"/>
          <w:color w:val="333333"/>
        </w:rPr>
        <w:t>-</w:t>
      </w:r>
      <w:r w:rsidR="00922CA9" w:rsidRPr="008C6870">
        <w:rPr>
          <w:rFonts w:ascii="Times New Roman" w:hAnsi="Times New Roman" w:cs="Times New Roman"/>
          <w:color w:val="333333"/>
        </w:rPr>
        <w:t>financed</w:t>
      </w:r>
      <w:proofErr w:type="gramEnd"/>
      <w:r w:rsidR="00922CA9" w:rsidRPr="008C6870">
        <w:rPr>
          <w:rFonts w:ascii="Times New Roman" w:hAnsi="Times New Roman" w:cs="Times New Roman"/>
          <w:color w:val="333333"/>
        </w:rPr>
        <w:t xml:space="preserve"> systems remain the providers of last resort</w:t>
      </w:r>
      <w:r w:rsidR="006C7136">
        <w:rPr>
          <w:rFonts w:ascii="Times New Roman" w:hAnsi="Times New Roman" w:cs="Times New Roman"/>
          <w:color w:val="333333"/>
        </w:rPr>
        <w:t xml:space="preserve"> and the destination of children when private providers fail </w:t>
      </w:r>
      <w:r w:rsidR="002C15B9" w:rsidRPr="008C6870">
        <w:rPr>
          <w:rFonts w:ascii="Times New Roman" w:hAnsi="Times New Roman" w:cs="Times New Roman"/>
          <w:color w:val="333333"/>
        </w:rPr>
        <w:t xml:space="preserve"> </w:t>
      </w:r>
    </w:p>
    <w:p w14:paraId="74D1FFD1" w14:textId="64257A42" w:rsidR="009F2E2C" w:rsidRDefault="002C15B9" w:rsidP="00583E87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8C6870">
        <w:rPr>
          <w:rFonts w:ascii="Times New Roman" w:hAnsi="Times New Roman" w:cs="Times New Roman"/>
          <w:color w:val="333333"/>
        </w:rPr>
        <w:t xml:space="preserve">Covid-19 has demonstrated the vulnerabilities of NSPs </w:t>
      </w:r>
      <w:r w:rsidR="00481C53" w:rsidRPr="008C6870">
        <w:rPr>
          <w:rFonts w:ascii="Times New Roman" w:hAnsi="Times New Roman" w:cs="Times New Roman"/>
          <w:color w:val="333333"/>
        </w:rPr>
        <w:t>with</w:t>
      </w:r>
      <w:r w:rsidRPr="008C6870">
        <w:rPr>
          <w:rFonts w:ascii="Times New Roman" w:hAnsi="Times New Roman" w:cs="Times New Roman"/>
          <w:color w:val="333333"/>
        </w:rPr>
        <w:t xml:space="preserve"> business models that lack resilience and carry no public liability insurances</w:t>
      </w:r>
      <w:r w:rsidR="00D74279">
        <w:rPr>
          <w:rFonts w:ascii="Times New Roman" w:hAnsi="Times New Roman" w:cs="Times New Roman"/>
          <w:color w:val="333333"/>
        </w:rPr>
        <w:t>.</w:t>
      </w:r>
    </w:p>
    <w:p w14:paraId="374FDBBA" w14:textId="77777777" w:rsidR="00A068F5" w:rsidRPr="00882FA2" w:rsidRDefault="00A068F5" w:rsidP="00882FA2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0DAD5081" w14:textId="1615DD62" w:rsidR="00321D73" w:rsidRPr="009E7A67" w:rsidRDefault="00A068F5" w:rsidP="009E7A67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9E7A67">
        <w:rPr>
          <w:rFonts w:ascii="Times New Roman" w:hAnsi="Times New Roman" w:cs="Times New Roman"/>
          <w:color w:val="333333"/>
        </w:rPr>
        <w:t>A</w:t>
      </w:r>
      <w:r w:rsidR="00916FCD" w:rsidRPr="009E7A67">
        <w:rPr>
          <w:rFonts w:ascii="Times New Roman" w:hAnsi="Times New Roman" w:cs="Times New Roman"/>
          <w:color w:val="333333"/>
        </w:rPr>
        <w:t>t least 6% of GDP is needed to finance</w:t>
      </w:r>
      <w:r w:rsidR="00065216" w:rsidRPr="009E7A67">
        <w:rPr>
          <w:rFonts w:ascii="Times New Roman" w:hAnsi="Times New Roman" w:cs="Times New Roman"/>
          <w:color w:val="333333"/>
        </w:rPr>
        <w:t xml:space="preserve"> universal </w:t>
      </w:r>
      <w:r w:rsidR="00916FCD" w:rsidRPr="009E7A67">
        <w:rPr>
          <w:rFonts w:ascii="Times New Roman" w:hAnsi="Times New Roman" w:cs="Times New Roman"/>
          <w:color w:val="333333"/>
        </w:rPr>
        <w:t xml:space="preserve">rights to education. This depends on government expenditure approaching 25% of GDP and at least 25% of that </w:t>
      </w:r>
      <w:r w:rsidR="00847116" w:rsidRPr="00F20586">
        <w:rPr>
          <w:rFonts w:ascii="Times New Roman" w:hAnsi="Times New Roman" w:cs="Times New Roman"/>
          <w:color w:val="333333"/>
        </w:rPr>
        <w:t>(25% of 25% = 6.25% of GDP)</w:t>
      </w:r>
      <w:r w:rsidR="00847116">
        <w:rPr>
          <w:rFonts w:ascii="Times New Roman" w:hAnsi="Times New Roman" w:cs="Times New Roman"/>
          <w:color w:val="333333"/>
        </w:rPr>
        <w:t xml:space="preserve"> </w:t>
      </w:r>
      <w:r w:rsidR="00916FCD" w:rsidRPr="009E7A67">
        <w:rPr>
          <w:rFonts w:ascii="Times New Roman" w:hAnsi="Times New Roman" w:cs="Times New Roman"/>
          <w:color w:val="333333"/>
        </w:rPr>
        <w:t>being allocated to education with a bias towards funding mass participation.</w:t>
      </w:r>
      <w:r w:rsidR="00CC4882" w:rsidRPr="009E7A67">
        <w:rPr>
          <w:rFonts w:ascii="Times New Roman" w:hAnsi="Times New Roman" w:cs="Times New Roman"/>
          <w:color w:val="333333"/>
        </w:rPr>
        <w:t xml:space="preserve"> </w:t>
      </w:r>
      <w:r w:rsidRPr="009E7A67">
        <w:rPr>
          <w:rFonts w:ascii="Times New Roman" w:hAnsi="Times New Roman" w:cs="Times New Roman"/>
          <w:color w:val="333333"/>
        </w:rPr>
        <w:t>The current average is about 4% of GDP</w:t>
      </w:r>
      <w:r w:rsidR="008240B0" w:rsidRPr="009E7A67">
        <w:rPr>
          <w:rFonts w:ascii="Times New Roman" w:hAnsi="Times New Roman" w:cs="Times New Roman"/>
          <w:color w:val="333333"/>
        </w:rPr>
        <w:t>.</w:t>
      </w:r>
      <w:r w:rsidRPr="009E7A67">
        <w:rPr>
          <w:rFonts w:ascii="Times New Roman" w:hAnsi="Times New Roman" w:cs="Times New Roman"/>
          <w:color w:val="333333"/>
        </w:rPr>
        <w:t xml:space="preserve"> </w:t>
      </w:r>
      <w:r w:rsidR="00CC4882" w:rsidRPr="009E7A67">
        <w:rPr>
          <w:rFonts w:ascii="Times New Roman" w:hAnsi="Times New Roman" w:cs="Times New Roman"/>
          <w:color w:val="333333"/>
        </w:rPr>
        <w:t>The GEM</w:t>
      </w:r>
      <w:r w:rsidR="004204A3">
        <w:rPr>
          <w:rFonts w:ascii="Times New Roman" w:hAnsi="Times New Roman" w:cs="Times New Roman"/>
          <w:color w:val="333333"/>
        </w:rPr>
        <w:t xml:space="preserve"> </w:t>
      </w:r>
      <w:r w:rsidR="00CC4882" w:rsidRPr="009E7A67">
        <w:rPr>
          <w:rFonts w:ascii="Times New Roman" w:hAnsi="Times New Roman" w:cs="Times New Roman"/>
          <w:color w:val="333333"/>
        </w:rPr>
        <w:t>R</w:t>
      </w:r>
      <w:r w:rsidR="004204A3">
        <w:rPr>
          <w:rFonts w:ascii="Times New Roman" w:hAnsi="Times New Roman" w:cs="Times New Roman"/>
          <w:color w:val="333333"/>
        </w:rPr>
        <w:t>eport</w:t>
      </w:r>
      <w:r w:rsidR="00CC4882" w:rsidRPr="009E7A67">
        <w:rPr>
          <w:rFonts w:ascii="Times New Roman" w:hAnsi="Times New Roman" w:cs="Times New Roman"/>
          <w:color w:val="333333"/>
        </w:rPr>
        <w:t xml:space="preserve"> shows that increasingly</w:t>
      </w:r>
      <w:r w:rsidR="004204A3">
        <w:rPr>
          <w:rFonts w:ascii="Times New Roman" w:hAnsi="Times New Roman" w:cs="Times New Roman"/>
          <w:color w:val="333333"/>
        </w:rPr>
        <w:t>,</w:t>
      </w:r>
      <w:r w:rsidR="00CC4882" w:rsidRPr="009E7A67">
        <w:rPr>
          <w:rFonts w:ascii="Times New Roman" w:hAnsi="Times New Roman" w:cs="Times New Roman"/>
          <w:color w:val="333333"/>
        </w:rPr>
        <w:t xml:space="preserve"> </w:t>
      </w:r>
      <w:r w:rsidR="003E47A4" w:rsidRPr="009E7A67">
        <w:rPr>
          <w:rFonts w:ascii="Times New Roman" w:hAnsi="Times New Roman" w:cs="Times New Roman"/>
          <w:color w:val="333333"/>
        </w:rPr>
        <w:t xml:space="preserve">the </w:t>
      </w:r>
      <w:r w:rsidR="00CC4882" w:rsidRPr="009E7A67">
        <w:rPr>
          <w:rFonts w:ascii="Times New Roman" w:hAnsi="Times New Roman" w:cs="Times New Roman"/>
          <w:color w:val="333333"/>
        </w:rPr>
        <w:t xml:space="preserve">costs </w:t>
      </w:r>
      <w:r w:rsidR="003E47A4" w:rsidRPr="009E7A67">
        <w:rPr>
          <w:rFonts w:ascii="Times New Roman" w:hAnsi="Times New Roman" w:cs="Times New Roman"/>
          <w:color w:val="333333"/>
        </w:rPr>
        <w:t xml:space="preserve">of education </w:t>
      </w:r>
      <w:r w:rsidR="00CC4882" w:rsidRPr="009E7A67">
        <w:rPr>
          <w:rFonts w:ascii="Times New Roman" w:hAnsi="Times New Roman" w:cs="Times New Roman"/>
          <w:color w:val="333333"/>
        </w:rPr>
        <w:t>are falling on households as states consistently fall short of pledges to allocate 6% of GDP</w:t>
      </w:r>
      <w:r w:rsidR="003E47A4" w:rsidRPr="009E7A67">
        <w:rPr>
          <w:rFonts w:ascii="Times New Roman" w:hAnsi="Times New Roman" w:cs="Times New Roman"/>
          <w:color w:val="333333"/>
        </w:rPr>
        <w:t>.</w:t>
      </w:r>
      <w:r w:rsidR="0073629A">
        <w:rPr>
          <w:rFonts w:ascii="Times New Roman" w:hAnsi="Times New Roman" w:cs="Times New Roman"/>
          <w:color w:val="333333"/>
        </w:rPr>
        <w:t xml:space="preserve"> Aid cannot fill the gap</w:t>
      </w:r>
      <w:r w:rsidR="00F12452">
        <w:rPr>
          <w:rFonts w:ascii="Times New Roman" w:hAnsi="Times New Roman" w:cs="Times New Roman"/>
          <w:color w:val="333333"/>
        </w:rPr>
        <w:t xml:space="preserve">. The only sustainable solution is to </w:t>
      </w:r>
      <w:r w:rsidR="008A217D">
        <w:rPr>
          <w:rFonts w:ascii="Times New Roman" w:hAnsi="Times New Roman" w:cs="Times New Roman"/>
          <w:color w:val="333333"/>
        </w:rPr>
        <w:t xml:space="preserve">encourage fiscal states to </w:t>
      </w:r>
      <w:r w:rsidR="00F12452">
        <w:rPr>
          <w:rFonts w:ascii="Times New Roman" w:hAnsi="Times New Roman" w:cs="Times New Roman"/>
          <w:color w:val="333333"/>
        </w:rPr>
        <w:t xml:space="preserve">generate more domestic revenue and invest it in more equitable service delivery. </w:t>
      </w:r>
      <w:r w:rsidR="0073629A">
        <w:rPr>
          <w:rFonts w:ascii="Times New Roman" w:hAnsi="Times New Roman" w:cs="Times New Roman"/>
          <w:color w:val="333333"/>
        </w:rPr>
        <w:t xml:space="preserve">  </w:t>
      </w:r>
    </w:p>
    <w:p w14:paraId="4CF627D9" w14:textId="77777777" w:rsidR="00ED4BE1" w:rsidRPr="00321D73" w:rsidRDefault="00847399" w:rsidP="00321D7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321D73">
        <w:rPr>
          <w:rFonts w:ascii="Times New Roman" w:hAnsi="Times New Roman" w:cs="Times New Roman"/>
          <w:color w:val="333333"/>
        </w:rPr>
        <w:t xml:space="preserve"> </w:t>
      </w:r>
      <w:r w:rsidR="002A326A" w:rsidRPr="00321D73">
        <w:rPr>
          <w:rFonts w:ascii="Times New Roman" w:hAnsi="Times New Roman" w:cs="Times New Roman"/>
          <w:color w:val="333333"/>
        </w:rPr>
        <w:t xml:space="preserve"> </w:t>
      </w:r>
    </w:p>
    <w:p w14:paraId="1A639882" w14:textId="1A4368E1" w:rsidR="00265D79" w:rsidRPr="009E7A67" w:rsidRDefault="006C7136" w:rsidP="009E7A67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9E7A67">
        <w:rPr>
          <w:rFonts w:ascii="Times New Roman" w:hAnsi="Times New Roman" w:cs="Times New Roman"/>
          <w:color w:val="333333"/>
        </w:rPr>
        <w:t>S</w:t>
      </w:r>
      <w:r w:rsidR="00131A7A" w:rsidRPr="009E7A67">
        <w:rPr>
          <w:rFonts w:ascii="Times New Roman" w:hAnsi="Times New Roman" w:cs="Times New Roman"/>
          <w:color w:val="333333"/>
        </w:rPr>
        <w:t xml:space="preserve">ome </w:t>
      </w:r>
      <w:r w:rsidR="00265D79" w:rsidRPr="009E7A67">
        <w:rPr>
          <w:rFonts w:ascii="Times New Roman" w:hAnsi="Times New Roman" w:cs="Times New Roman"/>
          <w:color w:val="333333"/>
        </w:rPr>
        <w:t>advocates</w:t>
      </w:r>
      <w:r w:rsidR="00131A7A" w:rsidRPr="009E7A67">
        <w:rPr>
          <w:rFonts w:ascii="Times New Roman" w:hAnsi="Times New Roman" w:cs="Times New Roman"/>
          <w:color w:val="333333"/>
        </w:rPr>
        <w:t xml:space="preserve"> ha</w:t>
      </w:r>
      <w:r w:rsidR="00B07402" w:rsidRPr="009E7A67">
        <w:rPr>
          <w:rFonts w:ascii="Times New Roman" w:hAnsi="Times New Roman" w:cs="Times New Roman"/>
          <w:color w:val="333333"/>
        </w:rPr>
        <w:t>ve</w:t>
      </w:r>
      <w:r w:rsidR="00131A7A" w:rsidRPr="009E7A67">
        <w:rPr>
          <w:rFonts w:ascii="Times New Roman" w:hAnsi="Times New Roman" w:cs="Times New Roman"/>
          <w:color w:val="333333"/>
        </w:rPr>
        <w:t xml:space="preserve"> assumed NSPs can deliver outcomes at system level </w:t>
      </w:r>
      <w:r w:rsidR="00A41E41" w:rsidRPr="009E7A67">
        <w:rPr>
          <w:rFonts w:ascii="Times New Roman" w:hAnsi="Times New Roman" w:cs="Times New Roman"/>
          <w:color w:val="333333"/>
        </w:rPr>
        <w:t>and take on system responsibilities</w:t>
      </w:r>
      <w:r w:rsidR="008240B0" w:rsidRPr="009E7A67">
        <w:rPr>
          <w:rFonts w:ascii="Times New Roman" w:hAnsi="Times New Roman" w:cs="Times New Roman"/>
          <w:color w:val="333333"/>
        </w:rPr>
        <w:t xml:space="preserve"> with few limits to their reach</w:t>
      </w:r>
      <w:r w:rsidR="00A41E41" w:rsidRPr="009E7A67">
        <w:rPr>
          <w:rFonts w:ascii="Times New Roman" w:hAnsi="Times New Roman" w:cs="Times New Roman"/>
          <w:color w:val="333333"/>
        </w:rPr>
        <w:t>.</w:t>
      </w:r>
      <w:r w:rsidR="008240B0" w:rsidRPr="009E7A67">
        <w:rPr>
          <w:rFonts w:ascii="Times New Roman" w:hAnsi="Times New Roman" w:cs="Times New Roman"/>
          <w:color w:val="333333"/>
        </w:rPr>
        <w:t xml:space="preserve"> </w:t>
      </w:r>
      <w:r w:rsidR="006C7EC6" w:rsidRPr="009E7A67">
        <w:rPr>
          <w:rFonts w:ascii="Times New Roman" w:hAnsi="Times New Roman" w:cs="Times New Roman"/>
          <w:color w:val="333333"/>
        </w:rPr>
        <w:t>Th</w:t>
      </w:r>
      <w:r w:rsidR="00B07402" w:rsidRPr="009E7A67">
        <w:rPr>
          <w:rFonts w:ascii="Times New Roman" w:hAnsi="Times New Roman" w:cs="Times New Roman"/>
          <w:color w:val="333333"/>
        </w:rPr>
        <w:t>e</w:t>
      </w:r>
      <w:r w:rsidR="006C7EC6" w:rsidRPr="009E7A67">
        <w:rPr>
          <w:rFonts w:ascii="Times New Roman" w:hAnsi="Times New Roman" w:cs="Times New Roman"/>
          <w:color w:val="333333"/>
        </w:rPr>
        <w:t xml:space="preserve"> historic record is clear</w:t>
      </w:r>
      <w:r w:rsidR="00A41E41" w:rsidRPr="009E7A67">
        <w:rPr>
          <w:rFonts w:ascii="Times New Roman" w:hAnsi="Times New Roman" w:cs="Times New Roman"/>
          <w:color w:val="333333"/>
        </w:rPr>
        <w:t>.</w:t>
      </w:r>
      <w:r w:rsidR="006C7EC6" w:rsidRPr="009E7A67">
        <w:rPr>
          <w:rFonts w:ascii="Times New Roman" w:hAnsi="Times New Roman" w:cs="Times New Roman"/>
          <w:color w:val="333333"/>
        </w:rPr>
        <w:t xml:space="preserve"> This is not a reasonable expectation or a likely scenario that can </w:t>
      </w:r>
      <w:r w:rsidR="00E65AFD" w:rsidRPr="009E7A67">
        <w:rPr>
          <w:rFonts w:ascii="Times New Roman" w:hAnsi="Times New Roman" w:cs="Times New Roman"/>
          <w:color w:val="333333"/>
        </w:rPr>
        <w:t xml:space="preserve">or will </w:t>
      </w:r>
      <w:r w:rsidR="006C7EC6" w:rsidRPr="009E7A67">
        <w:rPr>
          <w:rFonts w:ascii="Times New Roman" w:hAnsi="Times New Roman" w:cs="Times New Roman"/>
          <w:color w:val="333333"/>
        </w:rPr>
        <w:t>be financed</w:t>
      </w:r>
      <w:r w:rsidR="00E65AFD" w:rsidRPr="009E7A67">
        <w:rPr>
          <w:rFonts w:ascii="Times New Roman" w:hAnsi="Times New Roman" w:cs="Times New Roman"/>
          <w:color w:val="333333"/>
        </w:rPr>
        <w:t xml:space="preserve"> from non-government sources.</w:t>
      </w:r>
      <w:r w:rsidR="00265D79" w:rsidRPr="009E7A67">
        <w:rPr>
          <w:rFonts w:ascii="Times New Roman" w:hAnsi="Times New Roman" w:cs="Times New Roman"/>
          <w:color w:val="333333"/>
        </w:rPr>
        <w:t xml:space="preserve"> </w:t>
      </w:r>
      <w:r w:rsidR="00E65AFD" w:rsidRPr="009E7A67">
        <w:rPr>
          <w:rFonts w:ascii="Times New Roman" w:hAnsi="Times New Roman" w:cs="Times New Roman"/>
          <w:color w:val="333333"/>
        </w:rPr>
        <w:t>If it was</w:t>
      </w:r>
      <w:r w:rsidR="00501927">
        <w:rPr>
          <w:rFonts w:ascii="Times New Roman" w:hAnsi="Times New Roman" w:cs="Times New Roman"/>
          <w:color w:val="333333"/>
        </w:rPr>
        <w:t>,</w:t>
      </w:r>
      <w:r w:rsidR="00E65AFD" w:rsidRPr="009E7A67">
        <w:rPr>
          <w:rFonts w:ascii="Times New Roman" w:hAnsi="Times New Roman" w:cs="Times New Roman"/>
          <w:color w:val="333333"/>
        </w:rPr>
        <w:t xml:space="preserve"> it would already have happened. </w:t>
      </w:r>
      <w:r w:rsidR="00265D79" w:rsidRPr="009E7A67">
        <w:rPr>
          <w:rFonts w:ascii="Times New Roman" w:hAnsi="Times New Roman" w:cs="Times New Roman"/>
          <w:color w:val="333333"/>
        </w:rPr>
        <w:t xml:space="preserve"> </w:t>
      </w:r>
    </w:p>
    <w:p w14:paraId="79DE838C" w14:textId="77777777" w:rsidR="00131A7A" w:rsidRPr="00882FA2" w:rsidRDefault="00131A7A" w:rsidP="00882FA2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1B46F87E" w14:textId="257D7634" w:rsidR="00BF1B36" w:rsidRDefault="00DA3673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5A2E42">
        <w:rPr>
          <w:rFonts w:ascii="Times New Roman" w:hAnsi="Times New Roman" w:cs="Times New Roman"/>
          <w:color w:val="333333"/>
        </w:rPr>
        <w:t xml:space="preserve">Only governments </w:t>
      </w:r>
      <w:r w:rsidR="00AA6E31" w:rsidRPr="005A2E42">
        <w:rPr>
          <w:rFonts w:ascii="Times New Roman" w:hAnsi="Times New Roman" w:cs="Times New Roman"/>
          <w:color w:val="333333"/>
        </w:rPr>
        <w:t xml:space="preserve">(national or local) </w:t>
      </w:r>
      <w:r w:rsidRPr="005A2E42">
        <w:rPr>
          <w:rFonts w:ascii="Times New Roman" w:hAnsi="Times New Roman" w:cs="Times New Roman"/>
          <w:color w:val="333333"/>
        </w:rPr>
        <w:t>can take on responsibilities for delivering rights to education to all</w:t>
      </w:r>
      <w:r w:rsidR="00501927">
        <w:rPr>
          <w:rFonts w:ascii="Times New Roman" w:hAnsi="Times New Roman" w:cs="Times New Roman"/>
          <w:color w:val="333333"/>
        </w:rPr>
        <w:t>,</w:t>
      </w:r>
      <w:r w:rsidRPr="005A2E42">
        <w:rPr>
          <w:rFonts w:ascii="Times New Roman" w:hAnsi="Times New Roman" w:cs="Times New Roman"/>
          <w:color w:val="333333"/>
        </w:rPr>
        <w:t xml:space="preserve"> irrespective of social group and household income. Only governments have the capacity to finance public goods like mass access to education at different levels</w:t>
      </w:r>
      <w:r w:rsidR="00FE4BDD" w:rsidRPr="005A2E42">
        <w:rPr>
          <w:rFonts w:ascii="Times New Roman" w:hAnsi="Times New Roman" w:cs="Times New Roman"/>
          <w:color w:val="333333"/>
        </w:rPr>
        <w:t>.</w:t>
      </w:r>
      <w:r w:rsidR="006C7EC6" w:rsidRPr="005A2E42">
        <w:rPr>
          <w:rFonts w:ascii="Times New Roman" w:hAnsi="Times New Roman" w:cs="Times New Roman"/>
          <w:color w:val="333333"/>
        </w:rPr>
        <w:t xml:space="preserve"> Only governments can</w:t>
      </w:r>
      <w:r w:rsidR="00557A32" w:rsidRPr="005A2E42">
        <w:rPr>
          <w:rFonts w:ascii="Times New Roman" w:hAnsi="Times New Roman" w:cs="Times New Roman"/>
          <w:color w:val="333333"/>
        </w:rPr>
        <w:t xml:space="preserve"> </w:t>
      </w:r>
      <w:r w:rsidR="0097301C" w:rsidRPr="005A2E42">
        <w:rPr>
          <w:rFonts w:ascii="Times New Roman" w:hAnsi="Times New Roman" w:cs="Times New Roman"/>
          <w:color w:val="333333"/>
        </w:rPr>
        <w:t>provide financing of recurrent costs</w:t>
      </w:r>
      <w:r w:rsidR="00FE5788" w:rsidRPr="005A2E42">
        <w:rPr>
          <w:rFonts w:ascii="Times New Roman" w:hAnsi="Times New Roman" w:cs="Times New Roman"/>
          <w:color w:val="333333"/>
        </w:rPr>
        <w:t xml:space="preserve"> from revenue generation that does not depend on grant aid or unsustainable debt. </w:t>
      </w:r>
      <w:r w:rsidR="00EA6EB3" w:rsidRPr="005A2E42">
        <w:rPr>
          <w:rFonts w:ascii="Times New Roman" w:hAnsi="Times New Roman" w:cs="Times New Roman"/>
          <w:color w:val="333333"/>
        </w:rPr>
        <w:t>The limits to growth of NSPs</w:t>
      </w:r>
      <w:r w:rsidR="00AE23EE">
        <w:rPr>
          <w:rFonts w:ascii="Times New Roman" w:hAnsi="Times New Roman" w:cs="Times New Roman"/>
          <w:color w:val="333333"/>
        </w:rPr>
        <w:t>’</w:t>
      </w:r>
      <w:r w:rsidR="00EA6EB3" w:rsidRPr="005A2E42">
        <w:rPr>
          <w:rFonts w:ascii="Times New Roman" w:hAnsi="Times New Roman" w:cs="Times New Roman"/>
          <w:color w:val="333333"/>
        </w:rPr>
        <w:t xml:space="preserve"> reach and responsibilities are determined in </w:t>
      </w:r>
      <w:r w:rsidR="00AE23EE">
        <w:rPr>
          <w:rFonts w:ascii="Times New Roman" w:hAnsi="Times New Roman" w:cs="Times New Roman"/>
          <w:color w:val="333333"/>
        </w:rPr>
        <w:t xml:space="preserve">the </w:t>
      </w:r>
      <w:r w:rsidR="00EA6EB3" w:rsidRPr="005A2E42">
        <w:rPr>
          <w:rFonts w:ascii="Times New Roman" w:hAnsi="Times New Roman" w:cs="Times New Roman"/>
          <w:color w:val="333333"/>
        </w:rPr>
        <w:t xml:space="preserve">large part by the basic arithmetic of demography, income distribution, expenditure preferences of households and governments, and the </w:t>
      </w:r>
      <w:hyperlink r:id="rId13" w:history="1">
        <w:r w:rsidR="00EA6EB3" w:rsidRPr="00723D26">
          <w:rPr>
            <w:rStyle w:val="Hyperlink"/>
            <w:rFonts w:ascii="Times New Roman" w:hAnsi="Times New Roman" w:cs="Times New Roman"/>
          </w:rPr>
          <w:t>costs of employing teachers and organising learnin</w:t>
        </w:r>
        <w:r w:rsidR="0073629A" w:rsidRPr="00723D26">
          <w:rPr>
            <w:rStyle w:val="Hyperlink"/>
            <w:rFonts w:ascii="Times New Roman" w:hAnsi="Times New Roman" w:cs="Times New Roman"/>
          </w:rPr>
          <w:t>g</w:t>
        </w:r>
      </w:hyperlink>
      <w:r w:rsidR="00723D26">
        <w:rPr>
          <w:rFonts w:ascii="Times New Roman" w:hAnsi="Times New Roman" w:cs="Times New Roman"/>
          <w:color w:val="333333"/>
        </w:rPr>
        <w:t>.</w:t>
      </w:r>
    </w:p>
    <w:p w14:paraId="10E2E29C" w14:textId="77777777" w:rsidR="00FF4C54" w:rsidRPr="00CE5B4F" w:rsidRDefault="00FF4C54" w:rsidP="00CE5B4F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6B1C28D3" w14:textId="63F89138" w:rsidR="00021631" w:rsidRPr="00723D26" w:rsidRDefault="00266B8C" w:rsidP="00723D26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723D26">
        <w:rPr>
          <w:rFonts w:ascii="Times New Roman" w:hAnsi="Times New Roman" w:cs="Times New Roman"/>
          <w:color w:val="333333"/>
        </w:rPr>
        <w:lastRenderedPageBreak/>
        <w:t>The GEM</w:t>
      </w:r>
      <w:r w:rsidR="00C23D49">
        <w:rPr>
          <w:rFonts w:ascii="Times New Roman" w:hAnsi="Times New Roman" w:cs="Times New Roman"/>
          <w:color w:val="333333"/>
        </w:rPr>
        <w:t xml:space="preserve"> </w:t>
      </w:r>
      <w:r w:rsidRPr="00723D26">
        <w:rPr>
          <w:rFonts w:ascii="Times New Roman" w:hAnsi="Times New Roman" w:cs="Times New Roman"/>
          <w:color w:val="333333"/>
        </w:rPr>
        <w:t>R</w:t>
      </w:r>
      <w:r w:rsidR="00C23D49">
        <w:rPr>
          <w:rFonts w:ascii="Times New Roman" w:hAnsi="Times New Roman" w:cs="Times New Roman"/>
          <w:color w:val="333333"/>
        </w:rPr>
        <w:t>eport</w:t>
      </w:r>
      <w:r w:rsidRPr="00723D26">
        <w:rPr>
          <w:rFonts w:ascii="Times New Roman" w:hAnsi="Times New Roman" w:cs="Times New Roman"/>
          <w:color w:val="333333"/>
        </w:rPr>
        <w:t xml:space="preserve"> 2021</w:t>
      </w:r>
      <w:r w:rsidR="00C23D49">
        <w:rPr>
          <w:rFonts w:ascii="Times New Roman" w:hAnsi="Times New Roman" w:cs="Times New Roman"/>
          <w:color w:val="333333"/>
        </w:rPr>
        <w:t>/22</w:t>
      </w:r>
      <w:r w:rsidRPr="00723D26">
        <w:rPr>
          <w:rFonts w:ascii="Times New Roman" w:hAnsi="Times New Roman" w:cs="Times New Roman"/>
          <w:color w:val="333333"/>
        </w:rPr>
        <w:t xml:space="preserve"> pointedly asks “who cho</w:t>
      </w:r>
      <w:r w:rsidR="008A217D">
        <w:rPr>
          <w:rFonts w:ascii="Times New Roman" w:hAnsi="Times New Roman" w:cs="Times New Roman"/>
          <w:color w:val="333333"/>
        </w:rPr>
        <w:t>o</w:t>
      </w:r>
      <w:r w:rsidRPr="00723D26">
        <w:rPr>
          <w:rFonts w:ascii="Times New Roman" w:hAnsi="Times New Roman" w:cs="Times New Roman"/>
          <w:color w:val="333333"/>
        </w:rPr>
        <w:t>ses, who loses”</w:t>
      </w:r>
      <w:r w:rsidR="00570795" w:rsidRPr="00723D26">
        <w:rPr>
          <w:rFonts w:ascii="Times New Roman" w:hAnsi="Times New Roman" w:cs="Times New Roman"/>
          <w:color w:val="333333"/>
        </w:rPr>
        <w:t>.</w:t>
      </w:r>
      <w:r w:rsidRPr="00723D26">
        <w:rPr>
          <w:rFonts w:ascii="Times New Roman" w:hAnsi="Times New Roman" w:cs="Times New Roman"/>
          <w:color w:val="333333"/>
        </w:rPr>
        <w:t xml:space="preserve"> </w:t>
      </w:r>
      <w:r w:rsidR="008218BF" w:rsidRPr="00723D26">
        <w:rPr>
          <w:rFonts w:ascii="Times New Roman" w:hAnsi="Times New Roman" w:cs="Times New Roman"/>
          <w:color w:val="333333"/>
        </w:rPr>
        <w:t xml:space="preserve">The metaphors around winners and losers conjure up the algorithms of a </w:t>
      </w:r>
      <w:proofErr w:type="gramStart"/>
      <w:r w:rsidR="008218BF" w:rsidRPr="00723D26">
        <w:rPr>
          <w:rFonts w:ascii="Times New Roman" w:hAnsi="Times New Roman" w:cs="Times New Roman"/>
          <w:color w:val="333333"/>
        </w:rPr>
        <w:t>zero sum</w:t>
      </w:r>
      <w:proofErr w:type="gramEnd"/>
      <w:r w:rsidR="008218BF" w:rsidRPr="00723D26">
        <w:rPr>
          <w:rFonts w:ascii="Times New Roman" w:hAnsi="Times New Roman" w:cs="Times New Roman"/>
          <w:color w:val="333333"/>
        </w:rPr>
        <w:t xml:space="preserve"> game where the </w:t>
      </w:r>
      <w:r w:rsidRPr="00723D26">
        <w:rPr>
          <w:rFonts w:ascii="Times New Roman" w:hAnsi="Times New Roman" w:cs="Times New Roman"/>
          <w:color w:val="333333"/>
        </w:rPr>
        <w:t xml:space="preserve">motive for choice is to gain </w:t>
      </w:r>
      <w:r w:rsidR="00021631" w:rsidRPr="00723D26">
        <w:rPr>
          <w:rFonts w:ascii="Times New Roman" w:hAnsi="Times New Roman" w:cs="Times New Roman"/>
          <w:color w:val="333333"/>
        </w:rPr>
        <w:t xml:space="preserve">an </w:t>
      </w:r>
      <w:r w:rsidRPr="00723D26">
        <w:rPr>
          <w:rFonts w:ascii="Times New Roman" w:hAnsi="Times New Roman" w:cs="Times New Roman"/>
          <w:color w:val="333333"/>
        </w:rPr>
        <w:t>advantage</w:t>
      </w:r>
      <w:r w:rsidR="003F6B90">
        <w:rPr>
          <w:rFonts w:ascii="Times New Roman" w:hAnsi="Times New Roman" w:cs="Times New Roman"/>
          <w:color w:val="333333"/>
        </w:rPr>
        <w:t>,</w:t>
      </w:r>
      <w:r w:rsidRPr="00723D26">
        <w:rPr>
          <w:rFonts w:ascii="Times New Roman" w:hAnsi="Times New Roman" w:cs="Times New Roman"/>
          <w:color w:val="333333"/>
        </w:rPr>
        <w:t xml:space="preserve"> e.g. access to a high</w:t>
      </w:r>
      <w:r w:rsidR="00396554">
        <w:rPr>
          <w:rFonts w:ascii="Times New Roman" w:hAnsi="Times New Roman" w:cs="Times New Roman"/>
          <w:color w:val="333333"/>
        </w:rPr>
        <w:t>-</w:t>
      </w:r>
      <w:r w:rsidRPr="00723D26">
        <w:rPr>
          <w:rFonts w:ascii="Times New Roman" w:hAnsi="Times New Roman" w:cs="Times New Roman"/>
          <w:color w:val="333333"/>
        </w:rPr>
        <w:t>performing school</w:t>
      </w:r>
      <w:r w:rsidR="008218BF" w:rsidRPr="00723D26">
        <w:rPr>
          <w:rFonts w:ascii="Times New Roman" w:hAnsi="Times New Roman" w:cs="Times New Roman"/>
          <w:color w:val="333333"/>
        </w:rPr>
        <w:t>, or</w:t>
      </w:r>
      <w:r w:rsidR="007D1EE1" w:rsidRPr="00723D26">
        <w:rPr>
          <w:rFonts w:ascii="Times New Roman" w:hAnsi="Times New Roman" w:cs="Times New Roman"/>
          <w:color w:val="333333"/>
        </w:rPr>
        <w:t>,</w:t>
      </w:r>
      <w:r w:rsidR="008218BF" w:rsidRPr="00723D26">
        <w:rPr>
          <w:rFonts w:ascii="Times New Roman" w:hAnsi="Times New Roman" w:cs="Times New Roman"/>
          <w:color w:val="333333"/>
        </w:rPr>
        <w:t xml:space="preserve"> even more powerfully</w:t>
      </w:r>
      <w:r w:rsidR="00E22AB0" w:rsidRPr="00723D26">
        <w:rPr>
          <w:rFonts w:ascii="Times New Roman" w:hAnsi="Times New Roman" w:cs="Times New Roman"/>
          <w:color w:val="333333"/>
        </w:rPr>
        <w:t xml:space="preserve"> in choice theory</w:t>
      </w:r>
      <w:r w:rsidR="008218BF" w:rsidRPr="00723D26">
        <w:rPr>
          <w:rFonts w:ascii="Times New Roman" w:hAnsi="Times New Roman" w:cs="Times New Roman"/>
          <w:color w:val="333333"/>
        </w:rPr>
        <w:t>, avoi</w:t>
      </w:r>
      <w:r w:rsidR="00021631" w:rsidRPr="00723D26">
        <w:rPr>
          <w:rFonts w:ascii="Times New Roman" w:hAnsi="Times New Roman" w:cs="Times New Roman"/>
          <w:color w:val="333333"/>
        </w:rPr>
        <w:t xml:space="preserve">d a </w:t>
      </w:r>
      <w:r w:rsidR="008218BF" w:rsidRPr="00723D26">
        <w:rPr>
          <w:rFonts w:ascii="Times New Roman" w:hAnsi="Times New Roman" w:cs="Times New Roman"/>
          <w:color w:val="333333"/>
        </w:rPr>
        <w:t>disadvantage</w:t>
      </w:r>
      <w:r w:rsidR="00021631" w:rsidRPr="00723D26">
        <w:rPr>
          <w:rFonts w:ascii="Times New Roman" w:hAnsi="Times New Roman" w:cs="Times New Roman"/>
          <w:color w:val="333333"/>
        </w:rPr>
        <w:t xml:space="preserve"> (e.g. attending a low</w:t>
      </w:r>
      <w:r w:rsidR="00396554">
        <w:rPr>
          <w:rFonts w:ascii="Times New Roman" w:hAnsi="Times New Roman" w:cs="Times New Roman"/>
          <w:color w:val="333333"/>
        </w:rPr>
        <w:t>-</w:t>
      </w:r>
      <w:r w:rsidR="00021631" w:rsidRPr="00723D26">
        <w:rPr>
          <w:rFonts w:ascii="Times New Roman" w:hAnsi="Times New Roman" w:cs="Times New Roman"/>
          <w:color w:val="333333"/>
        </w:rPr>
        <w:t>performing school)</w:t>
      </w:r>
      <w:r w:rsidR="008218BF" w:rsidRPr="00723D26">
        <w:rPr>
          <w:rFonts w:ascii="Times New Roman" w:hAnsi="Times New Roman" w:cs="Times New Roman"/>
          <w:color w:val="333333"/>
        </w:rPr>
        <w:t>.</w:t>
      </w:r>
      <w:r w:rsidRPr="00723D26">
        <w:rPr>
          <w:rFonts w:ascii="Times New Roman" w:hAnsi="Times New Roman" w:cs="Times New Roman"/>
          <w:color w:val="333333"/>
        </w:rPr>
        <w:t xml:space="preserve"> Constructing discussion</w:t>
      </w:r>
      <w:r w:rsidR="008218BF" w:rsidRPr="00723D26">
        <w:rPr>
          <w:rFonts w:ascii="Times New Roman" w:hAnsi="Times New Roman" w:cs="Times New Roman"/>
          <w:color w:val="333333"/>
        </w:rPr>
        <w:t xml:space="preserve"> of educational provision</w:t>
      </w:r>
      <w:r w:rsidRPr="00723D26">
        <w:rPr>
          <w:rFonts w:ascii="Times New Roman" w:hAnsi="Times New Roman" w:cs="Times New Roman"/>
          <w:color w:val="333333"/>
        </w:rPr>
        <w:t xml:space="preserve"> around the role of NSPs </w:t>
      </w:r>
      <w:r w:rsidR="00683170" w:rsidRPr="00723D26">
        <w:rPr>
          <w:rFonts w:ascii="Times New Roman" w:hAnsi="Times New Roman" w:cs="Times New Roman"/>
          <w:color w:val="333333"/>
        </w:rPr>
        <w:t xml:space="preserve">in enlarging </w:t>
      </w:r>
      <w:r w:rsidRPr="00723D26">
        <w:rPr>
          <w:rFonts w:ascii="Times New Roman" w:hAnsi="Times New Roman" w:cs="Times New Roman"/>
          <w:color w:val="333333"/>
        </w:rPr>
        <w:t xml:space="preserve">choice </w:t>
      </w:r>
      <w:r w:rsidR="008218BF" w:rsidRPr="00723D26">
        <w:rPr>
          <w:rFonts w:ascii="Times New Roman" w:hAnsi="Times New Roman" w:cs="Times New Roman"/>
          <w:color w:val="333333"/>
        </w:rPr>
        <w:t xml:space="preserve">may </w:t>
      </w:r>
      <w:r w:rsidRPr="00723D26">
        <w:rPr>
          <w:rFonts w:ascii="Times New Roman" w:hAnsi="Times New Roman" w:cs="Times New Roman"/>
          <w:color w:val="333333"/>
        </w:rPr>
        <w:t>reveal more about the choosers than it does about the losers</w:t>
      </w:r>
      <w:r w:rsidR="001247F1" w:rsidRPr="00723D26">
        <w:rPr>
          <w:rFonts w:ascii="Times New Roman" w:hAnsi="Times New Roman" w:cs="Times New Roman"/>
          <w:color w:val="333333"/>
        </w:rPr>
        <w:t xml:space="preserve"> </w:t>
      </w:r>
      <w:r w:rsidR="00610AB1" w:rsidRPr="00723D26">
        <w:rPr>
          <w:rFonts w:ascii="Times New Roman" w:hAnsi="Times New Roman" w:cs="Times New Roman"/>
          <w:color w:val="333333"/>
        </w:rPr>
        <w:t>whose voice i</w:t>
      </w:r>
      <w:r w:rsidR="00F60CBF" w:rsidRPr="00723D26">
        <w:rPr>
          <w:rFonts w:ascii="Times New Roman" w:hAnsi="Times New Roman" w:cs="Times New Roman"/>
          <w:color w:val="333333"/>
        </w:rPr>
        <w:t>s</w:t>
      </w:r>
      <w:r w:rsidR="00610AB1" w:rsidRPr="00723D26">
        <w:rPr>
          <w:rFonts w:ascii="Times New Roman" w:hAnsi="Times New Roman" w:cs="Times New Roman"/>
          <w:color w:val="333333"/>
        </w:rPr>
        <w:t xml:space="preserve"> rarely heard. </w:t>
      </w:r>
    </w:p>
    <w:p w14:paraId="325722A9" w14:textId="77777777" w:rsidR="00021631" w:rsidRPr="00723D26" w:rsidRDefault="00021631" w:rsidP="00723D26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53D9788C" w14:textId="01EA70D7" w:rsidR="002B60B7" w:rsidRPr="00723D26" w:rsidRDefault="00E22AB0" w:rsidP="00723D26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723D26">
        <w:rPr>
          <w:rFonts w:ascii="Times New Roman" w:hAnsi="Times New Roman" w:cs="Times New Roman"/>
          <w:color w:val="333333"/>
        </w:rPr>
        <w:t>If public goods matter</w:t>
      </w:r>
      <w:r w:rsidR="001247F1" w:rsidRPr="00723D26">
        <w:rPr>
          <w:rFonts w:ascii="Times New Roman" w:hAnsi="Times New Roman" w:cs="Times New Roman"/>
          <w:color w:val="333333"/>
        </w:rPr>
        <w:t xml:space="preserve"> for </w:t>
      </w:r>
      <w:proofErr w:type="gramStart"/>
      <w:r w:rsidR="001247F1" w:rsidRPr="00723D26">
        <w:rPr>
          <w:rFonts w:ascii="Times New Roman" w:hAnsi="Times New Roman" w:cs="Times New Roman"/>
          <w:color w:val="333333"/>
        </w:rPr>
        <w:t>development</w:t>
      </w:r>
      <w:proofErr w:type="gramEnd"/>
      <w:r w:rsidR="001247F1" w:rsidRPr="00723D26">
        <w:rPr>
          <w:rFonts w:ascii="Times New Roman" w:hAnsi="Times New Roman" w:cs="Times New Roman"/>
          <w:color w:val="333333"/>
        </w:rPr>
        <w:t xml:space="preserve"> </w:t>
      </w:r>
      <w:r w:rsidRPr="00723D26">
        <w:rPr>
          <w:rFonts w:ascii="Times New Roman" w:hAnsi="Times New Roman" w:cs="Times New Roman"/>
          <w:color w:val="333333"/>
        </w:rPr>
        <w:t>there surely must be a better way</w:t>
      </w:r>
      <w:r w:rsidR="001247F1" w:rsidRPr="00723D26">
        <w:rPr>
          <w:rFonts w:ascii="Times New Roman" w:hAnsi="Times New Roman" w:cs="Times New Roman"/>
          <w:color w:val="333333"/>
        </w:rPr>
        <w:t xml:space="preserve"> forward. One </w:t>
      </w:r>
      <w:r w:rsidRPr="00723D26">
        <w:rPr>
          <w:rFonts w:ascii="Times New Roman" w:hAnsi="Times New Roman" w:cs="Times New Roman"/>
          <w:color w:val="333333"/>
        </w:rPr>
        <w:t>that reduces the consequences of school choice</w:t>
      </w:r>
      <w:r w:rsidR="00C63CD2" w:rsidRPr="00723D26">
        <w:rPr>
          <w:rFonts w:ascii="Times New Roman" w:hAnsi="Times New Roman" w:cs="Times New Roman"/>
          <w:color w:val="333333"/>
        </w:rPr>
        <w:t xml:space="preserve"> across systems </w:t>
      </w:r>
      <w:r w:rsidR="00570795" w:rsidRPr="00723D26">
        <w:rPr>
          <w:rFonts w:ascii="Times New Roman" w:hAnsi="Times New Roman" w:cs="Times New Roman"/>
          <w:color w:val="333333"/>
        </w:rPr>
        <w:t>and</w:t>
      </w:r>
      <w:r w:rsidR="00610AB1" w:rsidRPr="00723D26">
        <w:rPr>
          <w:rFonts w:ascii="Times New Roman" w:hAnsi="Times New Roman" w:cs="Times New Roman"/>
          <w:color w:val="333333"/>
        </w:rPr>
        <w:t xml:space="preserve"> </w:t>
      </w:r>
      <w:r w:rsidR="00570795" w:rsidRPr="00723D26">
        <w:rPr>
          <w:rFonts w:ascii="Times New Roman" w:hAnsi="Times New Roman" w:cs="Times New Roman"/>
          <w:color w:val="333333"/>
        </w:rPr>
        <w:t xml:space="preserve">seeks and celebrates </w:t>
      </w:r>
      <w:r w:rsidR="00610AB1" w:rsidRPr="00723D26">
        <w:rPr>
          <w:rFonts w:ascii="Times New Roman" w:hAnsi="Times New Roman" w:cs="Times New Roman"/>
          <w:color w:val="333333"/>
        </w:rPr>
        <w:t>convergence</w:t>
      </w:r>
      <w:r w:rsidR="00570795" w:rsidRPr="00723D26">
        <w:rPr>
          <w:rFonts w:ascii="Times New Roman" w:hAnsi="Times New Roman" w:cs="Times New Roman"/>
          <w:color w:val="333333"/>
        </w:rPr>
        <w:t>s</w:t>
      </w:r>
      <w:r w:rsidR="002E2EF6" w:rsidRPr="00723D26">
        <w:rPr>
          <w:rFonts w:ascii="Times New Roman" w:hAnsi="Times New Roman" w:cs="Times New Roman"/>
          <w:color w:val="333333"/>
        </w:rPr>
        <w:t xml:space="preserve">. NSPs </w:t>
      </w:r>
      <w:r w:rsidR="00746BFB" w:rsidRPr="00723D26">
        <w:rPr>
          <w:rFonts w:ascii="Times New Roman" w:hAnsi="Times New Roman" w:cs="Times New Roman"/>
          <w:color w:val="333333"/>
        </w:rPr>
        <w:t xml:space="preserve">not financed with public revenues </w:t>
      </w:r>
      <w:r w:rsidR="002E2EF6" w:rsidRPr="00723D26">
        <w:rPr>
          <w:rFonts w:ascii="Times New Roman" w:hAnsi="Times New Roman" w:cs="Times New Roman"/>
          <w:color w:val="333333"/>
        </w:rPr>
        <w:t xml:space="preserve">should contribute to greater equity rather than be associated with new asymmetries in access, </w:t>
      </w:r>
      <w:proofErr w:type="gramStart"/>
      <w:r w:rsidR="002E2EF6" w:rsidRPr="00723D26">
        <w:rPr>
          <w:rFonts w:ascii="Times New Roman" w:hAnsi="Times New Roman" w:cs="Times New Roman"/>
          <w:color w:val="333333"/>
        </w:rPr>
        <w:t>progression</w:t>
      </w:r>
      <w:proofErr w:type="gramEnd"/>
      <w:r w:rsidR="002E2EF6" w:rsidRPr="00723D26">
        <w:rPr>
          <w:rFonts w:ascii="Times New Roman" w:hAnsi="Times New Roman" w:cs="Times New Roman"/>
          <w:color w:val="333333"/>
        </w:rPr>
        <w:t xml:space="preserve"> and achievement.</w:t>
      </w:r>
      <w:r w:rsidR="006F3B0D" w:rsidRPr="00723D26">
        <w:rPr>
          <w:rFonts w:ascii="Times New Roman" w:hAnsi="Times New Roman" w:cs="Times New Roman"/>
          <w:color w:val="333333"/>
        </w:rPr>
        <w:t xml:space="preserve"> The limits to their growth need understanding alongside their interaction with the </w:t>
      </w:r>
      <w:proofErr w:type="gramStart"/>
      <w:r w:rsidR="006F3B0D" w:rsidRPr="00723D26">
        <w:rPr>
          <w:rFonts w:ascii="Times New Roman" w:hAnsi="Times New Roman" w:cs="Times New Roman"/>
          <w:color w:val="333333"/>
        </w:rPr>
        <w:t>publicly</w:t>
      </w:r>
      <w:r w:rsidR="00B65A6F">
        <w:rPr>
          <w:rFonts w:ascii="Times New Roman" w:hAnsi="Times New Roman" w:cs="Times New Roman"/>
          <w:color w:val="333333"/>
        </w:rPr>
        <w:t>-</w:t>
      </w:r>
      <w:r w:rsidR="006F3B0D" w:rsidRPr="00723D26">
        <w:rPr>
          <w:rFonts w:ascii="Times New Roman" w:hAnsi="Times New Roman" w:cs="Times New Roman"/>
          <w:color w:val="333333"/>
        </w:rPr>
        <w:t>financed</w:t>
      </w:r>
      <w:proofErr w:type="gramEnd"/>
      <w:r w:rsidR="006F3B0D" w:rsidRPr="00723D26">
        <w:rPr>
          <w:rFonts w:ascii="Times New Roman" w:hAnsi="Times New Roman" w:cs="Times New Roman"/>
          <w:color w:val="333333"/>
        </w:rPr>
        <w:t xml:space="preserve"> systems that are the only means of delivering rights to education for all. </w:t>
      </w:r>
      <w:r w:rsidR="002B60B7" w:rsidRPr="00723D26">
        <w:rPr>
          <w:rFonts w:ascii="Times New Roman" w:hAnsi="Times New Roman" w:cs="Times New Roman"/>
          <w:color w:val="333333"/>
        </w:rPr>
        <w:t xml:space="preserve">Time needs to be called on the pursuit of the </w:t>
      </w:r>
      <w:proofErr w:type="gramStart"/>
      <w:r w:rsidR="002B60B7" w:rsidRPr="00723D26">
        <w:rPr>
          <w:rFonts w:ascii="Times New Roman" w:hAnsi="Times New Roman" w:cs="Times New Roman"/>
          <w:color w:val="333333"/>
        </w:rPr>
        <w:t>zero sum</w:t>
      </w:r>
      <w:proofErr w:type="gramEnd"/>
      <w:r w:rsidR="002B60B7" w:rsidRPr="00723D26">
        <w:rPr>
          <w:rFonts w:ascii="Times New Roman" w:hAnsi="Times New Roman" w:cs="Times New Roman"/>
          <w:color w:val="333333"/>
        </w:rPr>
        <w:t xml:space="preserve"> educational game with a few winners and many more losers. </w:t>
      </w:r>
      <w:proofErr w:type="gramStart"/>
      <w:r w:rsidR="002B60B7" w:rsidRPr="00723D26">
        <w:rPr>
          <w:rFonts w:ascii="Times New Roman" w:hAnsi="Times New Roman" w:cs="Times New Roman"/>
          <w:color w:val="333333"/>
        </w:rPr>
        <w:t>Otherwise</w:t>
      </w:r>
      <w:proofErr w:type="gramEnd"/>
      <w:r w:rsidR="002B60B7" w:rsidRPr="00723D26">
        <w:rPr>
          <w:rFonts w:ascii="Times New Roman" w:hAnsi="Times New Roman" w:cs="Times New Roman"/>
          <w:color w:val="333333"/>
        </w:rPr>
        <w:t xml:space="preserve"> </w:t>
      </w:r>
      <w:r w:rsidR="00CF6411" w:rsidRPr="00723D26">
        <w:rPr>
          <w:rFonts w:ascii="Times New Roman" w:hAnsi="Times New Roman" w:cs="Times New Roman"/>
          <w:color w:val="333333"/>
        </w:rPr>
        <w:t xml:space="preserve">the </w:t>
      </w:r>
      <w:r w:rsidR="006737CE">
        <w:rPr>
          <w:rFonts w:ascii="Times New Roman" w:hAnsi="Times New Roman" w:cs="Times New Roman"/>
          <w:color w:val="333333"/>
        </w:rPr>
        <w:t>ch</w:t>
      </w:r>
      <w:r w:rsidR="008A217D">
        <w:rPr>
          <w:rFonts w:ascii="Times New Roman" w:hAnsi="Times New Roman" w:cs="Times New Roman"/>
          <w:color w:val="333333"/>
        </w:rPr>
        <w:t>o</w:t>
      </w:r>
      <w:r w:rsidR="006737CE">
        <w:rPr>
          <w:rFonts w:ascii="Times New Roman" w:hAnsi="Times New Roman" w:cs="Times New Roman"/>
          <w:color w:val="333333"/>
        </w:rPr>
        <w:t xml:space="preserve">osers </w:t>
      </w:r>
      <w:r w:rsidR="00A704BE">
        <w:rPr>
          <w:rFonts w:ascii="Times New Roman" w:hAnsi="Times New Roman" w:cs="Times New Roman"/>
          <w:color w:val="333333"/>
        </w:rPr>
        <w:t>the</w:t>
      </w:r>
      <w:r w:rsidR="00BF1B36">
        <w:rPr>
          <w:rFonts w:ascii="Times New Roman" w:hAnsi="Times New Roman" w:cs="Times New Roman"/>
          <w:color w:val="333333"/>
        </w:rPr>
        <w:t xml:space="preserve"> </w:t>
      </w:r>
      <w:r w:rsidR="00BF1B36" w:rsidRPr="0072231F">
        <w:rPr>
          <w:rFonts w:ascii="Times New Roman" w:hAnsi="Times New Roman" w:cs="Times New Roman"/>
          <w:color w:val="333333"/>
        </w:rPr>
        <w:t>GEM</w:t>
      </w:r>
      <w:r w:rsidR="00BF1B36">
        <w:rPr>
          <w:rFonts w:ascii="Times New Roman" w:hAnsi="Times New Roman" w:cs="Times New Roman"/>
          <w:color w:val="333333"/>
        </w:rPr>
        <w:t xml:space="preserve"> </w:t>
      </w:r>
      <w:r w:rsidR="00BF1B36" w:rsidRPr="0072231F">
        <w:rPr>
          <w:rFonts w:ascii="Times New Roman" w:hAnsi="Times New Roman" w:cs="Times New Roman"/>
          <w:color w:val="333333"/>
        </w:rPr>
        <w:t>R</w:t>
      </w:r>
      <w:r w:rsidR="00BF1B36">
        <w:rPr>
          <w:rFonts w:ascii="Times New Roman" w:hAnsi="Times New Roman" w:cs="Times New Roman"/>
          <w:color w:val="333333"/>
        </w:rPr>
        <w:t>eport</w:t>
      </w:r>
      <w:r w:rsidR="00BF1B36" w:rsidRPr="0072231F">
        <w:rPr>
          <w:rFonts w:ascii="Times New Roman" w:hAnsi="Times New Roman" w:cs="Times New Roman"/>
          <w:color w:val="333333"/>
        </w:rPr>
        <w:t xml:space="preserve"> identifies</w:t>
      </w:r>
      <w:r w:rsidR="00BD34E2" w:rsidRPr="00F20586">
        <w:rPr>
          <w:rFonts w:ascii="Times New Roman" w:hAnsi="Times New Roman" w:cs="Times New Roman"/>
          <w:color w:val="333333"/>
        </w:rPr>
        <w:t xml:space="preserve"> </w:t>
      </w:r>
      <w:r w:rsidR="002B60B7" w:rsidRPr="00723D26">
        <w:rPr>
          <w:rFonts w:ascii="Times New Roman" w:hAnsi="Times New Roman" w:cs="Times New Roman"/>
          <w:color w:val="333333"/>
        </w:rPr>
        <w:t>may end up</w:t>
      </w:r>
      <w:r w:rsidR="006737CE">
        <w:rPr>
          <w:rFonts w:ascii="Times New Roman" w:hAnsi="Times New Roman" w:cs="Times New Roman"/>
          <w:color w:val="333333"/>
        </w:rPr>
        <w:t xml:space="preserve"> identifying the losers as well as the winners</w:t>
      </w:r>
      <w:r w:rsidR="002B60B7" w:rsidRPr="00723D26">
        <w:rPr>
          <w:rFonts w:ascii="Times New Roman" w:hAnsi="Times New Roman" w:cs="Times New Roman"/>
          <w:color w:val="333333"/>
        </w:rPr>
        <w:t xml:space="preserve">. </w:t>
      </w:r>
    </w:p>
    <w:p w14:paraId="58F273D1" w14:textId="77777777" w:rsidR="002C3DC3" w:rsidRDefault="002C3DC3" w:rsidP="00F26B4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61017ACD" w14:textId="77777777" w:rsidR="00E70624" w:rsidRPr="00723D26" w:rsidRDefault="00E70624" w:rsidP="00723D26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</w:p>
    <w:p w14:paraId="758AFDE3" w14:textId="29747466" w:rsidR="00882FA2" w:rsidRPr="00723D26" w:rsidRDefault="00CE5B4F" w:rsidP="00723D26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</w:rPr>
      </w:pPr>
      <w:r w:rsidRPr="00723D26">
        <w:rPr>
          <w:rFonts w:ascii="Times New Roman" w:hAnsi="Times New Roman" w:cs="Times New Roman"/>
          <w:b/>
          <w:bCs/>
          <w:color w:val="333333"/>
        </w:rPr>
        <w:t>More contributions</w:t>
      </w:r>
      <w:r w:rsidRPr="00723D26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723D26">
        <w:rPr>
          <w:rFonts w:ascii="Times New Roman" w:hAnsi="Times New Roman" w:cs="Times New Roman"/>
          <w:color w:val="333333"/>
        </w:rPr>
        <w:t>on the subject of NSPs</w:t>
      </w:r>
      <w:proofErr w:type="gramEnd"/>
      <w:r w:rsidRPr="00723D26">
        <w:rPr>
          <w:rFonts w:ascii="Times New Roman" w:hAnsi="Times New Roman" w:cs="Times New Roman"/>
          <w:color w:val="333333"/>
        </w:rPr>
        <w:t xml:space="preserve"> are available on</w:t>
      </w:r>
      <w:r w:rsidR="00E70624">
        <w:rPr>
          <w:rFonts w:ascii="Times New Roman" w:hAnsi="Times New Roman" w:cs="Times New Roman"/>
          <w:color w:val="333333"/>
        </w:rPr>
        <w:t xml:space="preserve"> </w:t>
      </w:r>
      <w:hyperlink r:id="rId14" w:history="1">
        <w:r w:rsidR="00E70624" w:rsidRPr="00E70624">
          <w:rPr>
            <w:rStyle w:val="Hyperlink"/>
            <w:rFonts w:ascii="Times New Roman" w:hAnsi="Times New Roman" w:cs="Times New Roman"/>
          </w:rPr>
          <w:t>Keith Lewin’s website</w:t>
        </w:r>
      </w:hyperlink>
      <w:r w:rsidR="00E70624">
        <w:rPr>
          <w:rFonts w:ascii="Times New Roman" w:hAnsi="Times New Roman" w:cs="Times New Roman"/>
          <w:color w:val="333333"/>
        </w:rPr>
        <w:t>.</w:t>
      </w:r>
      <w:r w:rsidRPr="00723D26">
        <w:rPr>
          <w:rFonts w:ascii="Times New Roman" w:hAnsi="Times New Roman" w:cs="Times New Roman"/>
          <w:color w:val="333333"/>
        </w:rPr>
        <w:t xml:space="preserve"> These include a </w:t>
      </w:r>
      <w:r w:rsidR="00256E66" w:rsidRPr="00723D26">
        <w:rPr>
          <w:rFonts w:ascii="Times New Roman" w:hAnsi="Times New Roman" w:cs="Times New Roman"/>
          <w:color w:val="333333"/>
        </w:rPr>
        <w:t xml:space="preserve">background </w:t>
      </w:r>
      <w:r w:rsidRPr="00723D26">
        <w:rPr>
          <w:rFonts w:ascii="Times New Roman" w:hAnsi="Times New Roman" w:cs="Times New Roman"/>
          <w:color w:val="333333"/>
        </w:rPr>
        <w:t>briefing note for GEMR 20</w:t>
      </w:r>
      <w:r w:rsidR="00E70624">
        <w:rPr>
          <w:rFonts w:ascii="Times New Roman" w:hAnsi="Times New Roman" w:cs="Times New Roman"/>
          <w:color w:val="333333"/>
        </w:rPr>
        <w:t>21/</w:t>
      </w:r>
      <w:r w:rsidRPr="00723D26">
        <w:rPr>
          <w:rFonts w:ascii="Times New Roman" w:hAnsi="Times New Roman" w:cs="Times New Roman"/>
          <w:color w:val="333333"/>
        </w:rPr>
        <w:t>22</w:t>
      </w:r>
      <w:r w:rsidR="00EA6EB3" w:rsidRPr="00723D26">
        <w:rPr>
          <w:rFonts w:ascii="Times New Roman" w:hAnsi="Times New Roman" w:cs="Times New Roman"/>
          <w:color w:val="333333"/>
        </w:rPr>
        <w:t xml:space="preserve"> </w:t>
      </w:r>
      <w:r w:rsidR="004661C4">
        <w:rPr>
          <w:rFonts w:ascii="Times New Roman" w:hAnsi="Times New Roman" w:cs="Times New Roman"/>
          <w:color w:val="333333"/>
        </w:rPr>
        <w:t>(</w:t>
      </w:r>
      <w:hyperlink r:id="rId15" w:history="1">
        <w:r w:rsidR="0073629A" w:rsidRPr="00370169">
          <w:rPr>
            <w:rStyle w:val="Hyperlink"/>
            <w:rFonts w:ascii="Times New Roman" w:hAnsi="Times New Roman" w:cs="Times New Roman"/>
          </w:rPr>
          <w:t>https://keithlewin.net/events/</w:t>
        </w:r>
      </w:hyperlink>
      <w:r w:rsidR="0073629A">
        <w:rPr>
          <w:rFonts w:ascii="Times New Roman" w:hAnsi="Times New Roman" w:cs="Times New Roman"/>
          <w:color w:val="333333"/>
        </w:rPr>
        <w:t xml:space="preserve">) </w:t>
      </w:r>
      <w:r w:rsidR="00EA6EB3" w:rsidRPr="00723D26">
        <w:rPr>
          <w:rFonts w:ascii="Times New Roman" w:hAnsi="Times New Roman" w:cs="Times New Roman"/>
          <w:color w:val="333333"/>
        </w:rPr>
        <w:t>and</w:t>
      </w:r>
      <w:r w:rsidRPr="00723D26">
        <w:rPr>
          <w:rFonts w:ascii="Times New Roman" w:hAnsi="Times New Roman" w:cs="Times New Roman"/>
          <w:color w:val="333333"/>
        </w:rPr>
        <w:t xml:space="preserve"> several papers</w:t>
      </w:r>
      <w:r w:rsidR="004661C4">
        <w:rPr>
          <w:rFonts w:ascii="Times New Roman" w:hAnsi="Times New Roman" w:cs="Times New Roman"/>
          <w:color w:val="333333"/>
        </w:rPr>
        <w:t xml:space="preserve"> including </w:t>
      </w:r>
      <w:r w:rsidRPr="00723D26">
        <w:rPr>
          <w:rFonts w:ascii="Times New Roman" w:hAnsi="Times New Roman" w:cs="Times New Roman"/>
          <w:color w:val="333333"/>
        </w:rPr>
        <w:t xml:space="preserve"> </w:t>
      </w:r>
      <w:hyperlink r:id="rId16" w:history="1">
        <w:r w:rsidR="00F26B41" w:rsidRPr="00F26B41">
          <w:rPr>
            <w:rStyle w:val="Hyperlink"/>
            <w:rFonts w:ascii="Times New Roman" w:hAnsi="Times New Roman" w:cs="Times New Roman"/>
          </w:rPr>
          <w:t>The l</w:t>
        </w:r>
        <w:r w:rsidR="00882FA2" w:rsidRPr="00723D26">
          <w:rPr>
            <w:rStyle w:val="Hyperlink"/>
            <w:rFonts w:ascii="Times New Roman" w:hAnsi="Times New Roman" w:cs="Times New Roman"/>
          </w:rPr>
          <w:t>imits to growth of no</w:t>
        </w:r>
        <w:r w:rsidR="00635BBA" w:rsidRPr="00723D26">
          <w:rPr>
            <w:rStyle w:val="Hyperlink"/>
            <w:rFonts w:ascii="Times New Roman" w:hAnsi="Times New Roman" w:cs="Times New Roman"/>
          </w:rPr>
          <w:t>n-government private schooling in Sub-Saharan Africa</w:t>
        </w:r>
      </w:hyperlink>
      <w:r w:rsidR="00635BBA" w:rsidRPr="00723D26">
        <w:rPr>
          <w:rFonts w:ascii="Times New Roman" w:hAnsi="Times New Roman" w:cs="Times New Roman"/>
          <w:color w:val="333333"/>
        </w:rPr>
        <w:t>. CREATE Pathways to Access No 5</w:t>
      </w:r>
      <w:r w:rsidR="00F26B41">
        <w:rPr>
          <w:rFonts w:ascii="Times New Roman" w:hAnsi="Times New Roman" w:cs="Times New Roman"/>
          <w:color w:val="333333"/>
        </w:rPr>
        <w:t>, June 2007.</w:t>
      </w:r>
    </w:p>
    <w:p w14:paraId="703ADED4" w14:textId="77777777" w:rsidR="00F567D5" w:rsidRPr="00F567D5" w:rsidRDefault="00F567D5" w:rsidP="00F567D5">
      <w:pPr>
        <w:rPr>
          <w:lang w:val="en-US"/>
        </w:rPr>
      </w:pPr>
    </w:p>
    <w:sectPr w:rsidR="00F567D5" w:rsidRPr="00F567D5" w:rsidSect="005B0734"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AF2A" w14:textId="77777777" w:rsidR="00A70ACB" w:rsidRDefault="00A70ACB" w:rsidP="002C7C5A">
      <w:r>
        <w:separator/>
      </w:r>
    </w:p>
  </w:endnote>
  <w:endnote w:type="continuationSeparator" w:id="0">
    <w:p w14:paraId="616910C6" w14:textId="77777777" w:rsidR="00A70ACB" w:rsidRDefault="00A70ACB" w:rsidP="002C7C5A">
      <w:r>
        <w:continuationSeparator/>
      </w:r>
    </w:p>
  </w:endnote>
  <w:endnote w:type="continuationNotice" w:id="1">
    <w:p w14:paraId="46BF22B2" w14:textId="77777777" w:rsidR="00A70ACB" w:rsidRDefault="00A70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1998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1F22F" w14:textId="77777777" w:rsidR="00CC1CD1" w:rsidRDefault="00CC1CD1" w:rsidP="000328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4AE78" w14:textId="77777777" w:rsidR="00CC1CD1" w:rsidRDefault="00CC1CD1" w:rsidP="002052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8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AA9F2" w14:textId="77777777" w:rsidR="00CC1CD1" w:rsidRDefault="00CC1CD1" w:rsidP="000328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966E5F" w14:textId="77777777" w:rsidR="00CC1CD1" w:rsidRDefault="00CC1CD1" w:rsidP="00205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37FE" w14:textId="77777777" w:rsidR="00A70ACB" w:rsidRDefault="00A70ACB" w:rsidP="002C7C5A">
      <w:r>
        <w:separator/>
      </w:r>
    </w:p>
  </w:footnote>
  <w:footnote w:type="continuationSeparator" w:id="0">
    <w:p w14:paraId="3C30051C" w14:textId="77777777" w:rsidR="00A70ACB" w:rsidRDefault="00A70ACB" w:rsidP="002C7C5A">
      <w:r>
        <w:continuationSeparator/>
      </w:r>
    </w:p>
  </w:footnote>
  <w:footnote w:type="continuationNotice" w:id="1">
    <w:p w14:paraId="673ADB78" w14:textId="77777777" w:rsidR="00A70ACB" w:rsidRDefault="00A70A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706"/>
    <w:multiLevelType w:val="hybridMultilevel"/>
    <w:tmpl w:val="AC7E0280"/>
    <w:lvl w:ilvl="0" w:tplc="4F96A1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36D"/>
    <w:multiLevelType w:val="multilevel"/>
    <w:tmpl w:val="39B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F18E8"/>
    <w:multiLevelType w:val="hybridMultilevel"/>
    <w:tmpl w:val="536C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9D2"/>
    <w:multiLevelType w:val="hybridMultilevel"/>
    <w:tmpl w:val="2D26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53F"/>
    <w:multiLevelType w:val="hybridMultilevel"/>
    <w:tmpl w:val="B58EB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878DB"/>
    <w:multiLevelType w:val="hybridMultilevel"/>
    <w:tmpl w:val="1F2A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252F"/>
    <w:multiLevelType w:val="hybridMultilevel"/>
    <w:tmpl w:val="EF92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0139B"/>
    <w:multiLevelType w:val="hybridMultilevel"/>
    <w:tmpl w:val="CED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98A"/>
    <w:multiLevelType w:val="hybridMultilevel"/>
    <w:tmpl w:val="2BBE6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2D97A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1F"/>
    <w:rsid w:val="00003113"/>
    <w:rsid w:val="00021631"/>
    <w:rsid w:val="000218FD"/>
    <w:rsid w:val="00024BE8"/>
    <w:rsid w:val="00026B22"/>
    <w:rsid w:val="0003080A"/>
    <w:rsid w:val="0003285D"/>
    <w:rsid w:val="00055D6A"/>
    <w:rsid w:val="00056635"/>
    <w:rsid w:val="00065216"/>
    <w:rsid w:val="000666A4"/>
    <w:rsid w:val="00083A09"/>
    <w:rsid w:val="000901E4"/>
    <w:rsid w:val="00092A6B"/>
    <w:rsid w:val="000B0C25"/>
    <w:rsid w:val="000B7CB2"/>
    <w:rsid w:val="000C5FF5"/>
    <w:rsid w:val="000E2B20"/>
    <w:rsid w:val="000E48FD"/>
    <w:rsid w:val="000F1D75"/>
    <w:rsid w:val="000F50CE"/>
    <w:rsid w:val="00103B28"/>
    <w:rsid w:val="001057DF"/>
    <w:rsid w:val="001074AC"/>
    <w:rsid w:val="00116F83"/>
    <w:rsid w:val="001247F1"/>
    <w:rsid w:val="00131A7A"/>
    <w:rsid w:val="00135B55"/>
    <w:rsid w:val="00185B5C"/>
    <w:rsid w:val="00194EF4"/>
    <w:rsid w:val="001970DE"/>
    <w:rsid w:val="001B593C"/>
    <w:rsid w:val="001C3256"/>
    <w:rsid w:val="001D4016"/>
    <w:rsid w:val="001D42F1"/>
    <w:rsid w:val="001D5815"/>
    <w:rsid w:val="001D6A16"/>
    <w:rsid w:val="001F331B"/>
    <w:rsid w:val="001F769D"/>
    <w:rsid w:val="002052AD"/>
    <w:rsid w:val="002123B3"/>
    <w:rsid w:val="00214B8F"/>
    <w:rsid w:val="00223660"/>
    <w:rsid w:val="00231531"/>
    <w:rsid w:val="00233928"/>
    <w:rsid w:val="0023785D"/>
    <w:rsid w:val="002379C3"/>
    <w:rsid w:val="0024055F"/>
    <w:rsid w:val="00254E03"/>
    <w:rsid w:val="00256E66"/>
    <w:rsid w:val="00265D79"/>
    <w:rsid w:val="00266B8C"/>
    <w:rsid w:val="002736D2"/>
    <w:rsid w:val="00280304"/>
    <w:rsid w:val="002A326A"/>
    <w:rsid w:val="002B60B7"/>
    <w:rsid w:val="002C15B9"/>
    <w:rsid w:val="002C3DC3"/>
    <w:rsid w:val="002C7C5A"/>
    <w:rsid w:val="002D0AF6"/>
    <w:rsid w:val="002E2EF6"/>
    <w:rsid w:val="002E3B22"/>
    <w:rsid w:val="002F58B7"/>
    <w:rsid w:val="003124F6"/>
    <w:rsid w:val="0031430F"/>
    <w:rsid w:val="00321D73"/>
    <w:rsid w:val="00332F04"/>
    <w:rsid w:val="003361C2"/>
    <w:rsid w:val="00355EB3"/>
    <w:rsid w:val="0036606A"/>
    <w:rsid w:val="00380E26"/>
    <w:rsid w:val="00396554"/>
    <w:rsid w:val="003A7050"/>
    <w:rsid w:val="003C1507"/>
    <w:rsid w:val="003E0728"/>
    <w:rsid w:val="003E47A4"/>
    <w:rsid w:val="003E4A71"/>
    <w:rsid w:val="003E6C86"/>
    <w:rsid w:val="003F6B90"/>
    <w:rsid w:val="004125CA"/>
    <w:rsid w:val="004204A3"/>
    <w:rsid w:val="00444FB0"/>
    <w:rsid w:val="00445A7E"/>
    <w:rsid w:val="004661C4"/>
    <w:rsid w:val="0047646D"/>
    <w:rsid w:val="00481C53"/>
    <w:rsid w:val="00497E1A"/>
    <w:rsid w:val="004A04B0"/>
    <w:rsid w:val="004A26F1"/>
    <w:rsid w:val="004C4090"/>
    <w:rsid w:val="004C68A4"/>
    <w:rsid w:val="004C7222"/>
    <w:rsid w:val="004D0AF9"/>
    <w:rsid w:val="004D5694"/>
    <w:rsid w:val="004D63B3"/>
    <w:rsid w:val="004D776A"/>
    <w:rsid w:val="004E24C3"/>
    <w:rsid w:val="004E35A8"/>
    <w:rsid w:val="004E77D1"/>
    <w:rsid w:val="004F2D8A"/>
    <w:rsid w:val="004F6C10"/>
    <w:rsid w:val="00500794"/>
    <w:rsid w:val="00501927"/>
    <w:rsid w:val="00503CA2"/>
    <w:rsid w:val="0050416B"/>
    <w:rsid w:val="00512B5E"/>
    <w:rsid w:val="00521447"/>
    <w:rsid w:val="00557A32"/>
    <w:rsid w:val="005671D2"/>
    <w:rsid w:val="00570795"/>
    <w:rsid w:val="005732E5"/>
    <w:rsid w:val="00580D03"/>
    <w:rsid w:val="00580F8E"/>
    <w:rsid w:val="0058189A"/>
    <w:rsid w:val="00583E87"/>
    <w:rsid w:val="005859F9"/>
    <w:rsid w:val="005A2E42"/>
    <w:rsid w:val="005A2F8D"/>
    <w:rsid w:val="005B04D2"/>
    <w:rsid w:val="005B0734"/>
    <w:rsid w:val="005B7CE2"/>
    <w:rsid w:val="005C0988"/>
    <w:rsid w:val="005C23D1"/>
    <w:rsid w:val="005C56B9"/>
    <w:rsid w:val="005E190E"/>
    <w:rsid w:val="00610AB1"/>
    <w:rsid w:val="00624410"/>
    <w:rsid w:val="0063121D"/>
    <w:rsid w:val="006332C3"/>
    <w:rsid w:val="00635BBA"/>
    <w:rsid w:val="00640018"/>
    <w:rsid w:val="0064243D"/>
    <w:rsid w:val="00642AD6"/>
    <w:rsid w:val="00646ADE"/>
    <w:rsid w:val="00647A8F"/>
    <w:rsid w:val="00653065"/>
    <w:rsid w:val="006737CE"/>
    <w:rsid w:val="00683170"/>
    <w:rsid w:val="00690F29"/>
    <w:rsid w:val="006A26D9"/>
    <w:rsid w:val="006C0C26"/>
    <w:rsid w:val="006C4EA0"/>
    <w:rsid w:val="006C7136"/>
    <w:rsid w:val="006C7E70"/>
    <w:rsid w:val="006C7EC6"/>
    <w:rsid w:val="006D2DA6"/>
    <w:rsid w:val="006D42C9"/>
    <w:rsid w:val="006E0C92"/>
    <w:rsid w:val="006F0751"/>
    <w:rsid w:val="006F3B0D"/>
    <w:rsid w:val="006F6015"/>
    <w:rsid w:val="006F7244"/>
    <w:rsid w:val="006F7344"/>
    <w:rsid w:val="00707968"/>
    <w:rsid w:val="00711E9A"/>
    <w:rsid w:val="00713C56"/>
    <w:rsid w:val="00720858"/>
    <w:rsid w:val="00723D26"/>
    <w:rsid w:val="00732E88"/>
    <w:rsid w:val="007331E7"/>
    <w:rsid w:val="0073629A"/>
    <w:rsid w:val="00746BFB"/>
    <w:rsid w:val="007500E1"/>
    <w:rsid w:val="0078242C"/>
    <w:rsid w:val="00790561"/>
    <w:rsid w:val="00792543"/>
    <w:rsid w:val="007A282E"/>
    <w:rsid w:val="007A4A58"/>
    <w:rsid w:val="007B1747"/>
    <w:rsid w:val="007B2919"/>
    <w:rsid w:val="007C0B00"/>
    <w:rsid w:val="007D1763"/>
    <w:rsid w:val="007D1EE1"/>
    <w:rsid w:val="007E5441"/>
    <w:rsid w:val="007F7F10"/>
    <w:rsid w:val="008200A4"/>
    <w:rsid w:val="008218BF"/>
    <w:rsid w:val="008240B0"/>
    <w:rsid w:val="00826557"/>
    <w:rsid w:val="00840E61"/>
    <w:rsid w:val="00847116"/>
    <w:rsid w:val="00847399"/>
    <w:rsid w:val="00850632"/>
    <w:rsid w:val="00851C1F"/>
    <w:rsid w:val="00866A6C"/>
    <w:rsid w:val="00872603"/>
    <w:rsid w:val="00872626"/>
    <w:rsid w:val="00882FA2"/>
    <w:rsid w:val="008A217D"/>
    <w:rsid w:val="008B05F1"/>
    <w:rsid w:val="008B7759"/>
    <w:rsid w:val="008C51C6"/>
    <w:rsid w:val="008C6870"/>
    <w:rsid w:val="008D42A6"/>
    <w:rsid w:val="008E29B6"/>
    <w:rsid w:val="008F2E1F"/>
    <w:rsid w:val="00900F73"/>
    <w:rsid w:val="00905947"/>
    <w:rsid w:val="00907FC6"/>
    <w:rsid w:val="0091547D"/>
    <w:rsid w:val="00916D0C"/>
    <w:rsid w:val="00916FCD"/>
    <w:rsid w:val="00922CA9"/>
    <w:rsid w:val="009237AB"/>
    <w:rsid w:val="009307B8"/>
    <w:rsid w:val="0094061A"/>
    <w:rsid w:val="00944DB9"/>
    <w:rsid w:val="009478C0"/>
    <w:rsid w:val="009562BE"/>
    <w:rsid w:val="00957C0F"/>
    <w:rsid w:val="00961197"/>
    <w:rsid w:val="00961B04"/>
    <w:rsid w:val="00961EFA"/>
    <w:rsid w:val="00962E6C"/>
    <w:rsid w:val="0097301C"/>
    <w:rsid w:val="009758A4"/>
    <w:rsid w:val="00986B18"/>
    <w:rsid w:val="0099263A"/>
    <w:rsid w:val="0099379C"/>
    <w:rsid w:val="0099545B"/>
    <w:rsid w:val="009B7052"/>
    <w:rsid w:val="009C0470"/>
    <w:rsid w:val="009D3EA1"/>
    <w:rsid w:val="009D7286"/>
    <w:rsid w:val="009E138C"/>
    <w:rsid w:val="009E450A"/>
    <w:rsid w:val="009E72FD"/>
    <w:rsid w:val="009E7A67"/>
    <w:rsid w:val="009F2E2C"/>
    <w:rsid w:val="009F3FF1"/>
    <w:rsid w:val="009F5875"/>
    <w:rsid w:val="00A05E38"/>
    <w:rsid w:val="00A068F5"/>
    <w:rsid w:val="00A356E7"/>
    <w:rsid w:val="00A35B74"/>
    <w:rsid w:val="00A41E41"/>
    <w:rsid w:val="00A4495D"/>
    <w:rsid w:val="00A6008C"/>
    <w:rsid w:val="00A6623A"/>
    <w:rsid w:val="00A704BE"/>
    <w:rsid w:val="00A70ACB"/>
    <w:rsid w:val="00A85D91"/>
    <w:rsid w:val="00A94DC6"/>
    <w:rsid w:val="00AA444D"/>
    <w:rsid w:val="00AA6E31"/>
    <w:rsid w:val="00AB1AF6"/>
    <w:rsid w:val="00AE23EE"/>
    <w:rsid w:val="00AE40CA"/>
    <w:rsid w:val="00AE6829"/>
    <w:rsid w:val="00AF0DBA"/>
    <w:rsid w:val="00AF3E4A"/>
    <w:rsid w:val="00B034CD"/>
    <w:rsid w:val="00B04571"/>
    <w:rsid w:val="00B06AFC"/>
    <w:rsid w:val="00B07402"/>
    <w:rsid w:val="00B1782B"/>
    <w:rsid w:val="00B31771"/>
    <w:rsid w:val="00B45AA5"/>
    <w:rsid w:val="00B60CCE"/>
    <w:rsid w:val="00B614C6"/>
    <w:rsid w:val="00B65A6F"/>
    <w:rsid w:val="00B82D67"/>
    <w:rsid w:val="00B83B54"/>
    <w:rsid w:val="00B8508F"/>
    <w:rsid w:val="00B93F74"/>
    <w:rsid w:val="00B964C2"/>
    <w:rsid w:val="00BA5191"/>
    <w:rsid w:val="00BA560D"/>
    <w:rsid w:val="00BC09D9"/>
    <w:rsid w:val="00BC3947"/>
    <w:rsid w:val="00BD2B33"/>
    <w:rsid w:val="00BD34E2"/>
    <w:rsid w:val="00BF1B36"/>
    <w:rsid w:val="00C00230"/>
    <w:rsid w:val="00C23D49"/>
    <w:rsid w:val="00C44C4A"/>
    <w:rsid w:val="00C5793B"/>
    <w:rsid w:val="00C63CD2"/>
    <w:rsid w:val="00C84152"/>
    <w:rsid w:val="00C8746F"/>
    <w:rsid w:val="00C9584D"/>
    <w:rsid w:val="00CA6EDD"/>
    <w:rsid w:val="00CB0BE1"/>
    <w:rsid w:val="00CB440D"/>
    <w:rsid w:val="00CC1CD1"/>
    <w:rsid w:val="00CC4882"/>
    <w:rsid w:val="00CC7C22"/>
    <w:rsid w:val="00CD0F31"/>
    <w:rsid w:val="00CD4831"/>
    <w:rsid w:val="00CD7008"/>
    <w:rsid w:val="00CE169E"/>
    <w:rsid w:val="00CE16A8"/>
    <w:rsid w:val="00CE415B"/>
    <w:rsid w:val="00CE5B4F"/>
    <w:rsid w:val="00CF2A10"/>
    <w:rsid w:val="00CF4C66"/>
    <w:rsid w:val="00CF6411"/>
    <w:rsid w:val="00D13753"/>
    <w:rsid w:val="00D140A5"/>
    <w:rsid w:val="00D211AD"/>
    <w:rsid w:val="00D22C0A"/>
    <w:rsid w:val="00D26B96"/>
    <w:rsid w:val="00D46084"/>
    <w:rsid w:val="00D52A8B"/>
    <w:rsid w:val="00D54FC5"/>
    <w:rsid w:val="00D56E48"/>
    <w:rsid w:val="00D60915"/>
    <w:rsid w:val="00D60A3A"/>
    <w:rsid w:val="00D676B6"/>
    <w:rsid w:val="00D72388"/>
    <w:rsid w:val="00D74279"/>
    <w:rsid w:val="00D8610F"/>
    <w:rsid w:val="00D96DC5"/>
    <w:rsid w:val="00DA3673"/>
    <w:rsid w:val="00DA5765"/>
    <w:rsid w:val="00DA7B4F"/>
    <w:rsid w:val="00DB54CF"/>
    <w:rsid w:val="00DC2C7C"/>
    <w:rsid w:val="00DE6B3D"/>
    <w:rsid w:val="00E01236"/>
    <w:rsid w:val="00E20F2E"/>
    <w:rsid w:val="00E22AB0"/>
    <w:rsid w:val="00E26070"/>
    <w:rsid w:val="00E35FAF"/>
    <w:rsid w:val="00E60484"/>
    <w:rsid w:val="00E6548B"/>
    <w:rsid w:val="00E65AFD"/>
    <w:rsid w:val="00E70624"/>
    <w:rsid w:val="00E7224A"/>
    <w:rsid w:val="00E858C7"/>
    <w:rsid w:val="00E87DB5"/>
    <w:rsid w:val="00E90635"/>
    <w:rsid w:val="00EA0990"/>
    <w:rsid w:val="00EA4F43"/>
    <w:rsid w:val="00EA6EB3"/>
    <w:rsid w:val="00EA7AD3"/>
    <w:rsid w:val="00EB2D46"/>
    <w:rsid w:val="00EB343C"/>
    <w:rsid w:val="00EC7212"/>
    <w:rsid w:val="00ED2E9F"/>
    <w:rsid w:val="00ED3C1F"/>
    <w:rsid w:val="00ED4BE1"/>
    <w:rsid w:val="00F0618E"/>
    <w:rsid w:val="00F12452"/>
    <w:rsid w:val="00F127AD"/>
    <w:rsid w:val="00F26B41"/>
    <w:rsid w:val="00F26DAB"/>
    <w:rsid w:val="00F3194D"/>
    <w:rsid w:val="00F567D5"/>
    <w:rsid w:val="00F60CBF"/>
    <w:rsid w:val="00F61A56"/>
    <w:rsid w:val="00F66E5F"/>
    <w:rsid w:val="00F75A33"/>
    <w:rsid w:val="00F86709"/>
    <w:rsid w:val="00F86D88"/>
    <w:rsid w:val="00FA29EA"/>
    <w:rsid w:val="00FB660D"/>
    <w:rsid w:val="00FC6ACB"/>
    <w:rsid w:val="00FD64CA"/>
    <w:rsid w:val="00FE01A7"/>
    <w:rsid w:val="00FE4BDD"/>
    <w:rsid w:val="00FE5788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F502"/>
  <w15:chartTrackingRefBased/>
  <w15:docId w15:val="{6B1ED374-CABD-5B4B-B5BF-3214A10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26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2C7C5A"/>
    <w:pPr>
      <w:spacing w:line="273" w:lineRule="auto"/>
      <w:ind w:left="121" w:hanging="113"/>
    </w:pPr>
    <w:rPr>
      <w:rFonts w:ascii="Times New Roman" w:eastAsia="Times New Roman" w:hAnsi="Times New Roman" w:cs="Times New Roman"/>
      <w:color w:val="797A7A"/>
      <w:sz w:val="13"/>
      <w:lang w:eastAsia="en-GB"/>
    </w:rPr>
  </w:style>
  <w:style w:type="character" w:customStyle="1" w:styleId="footnotedescriptionChar">
    <w:name w:val="footnote description Char"/>
    <w:link w:val="footnotedescription"/>
    <w:rsid w:val="002C7C5A"/>
    <w:rPr>
      <w:rFonts w:ascii="Times New Roman" w:eastAsia="Times New Roman" w:hAnsi="Times New Roman" w:cs="Times New Roman"/>
      <w:color w:val="797A7A"/>
      <w:sz w:val="13"/>
      <w:lang w:eastAsia="en-GB"/>
    </w:rPr>
  </w:style>
  <w:style w:type="character" w:customStyle="1" w:styleId="footnotemark">
    <w:name w:val="footnote mark"/>
    <w:hidden/>
    <w:rsid w:val="002C7C5A"/>
    <w:rPr>
      <w:rFonts w:ascii="Times New Roman" w:eastAsia="Times New Roman" w:hAnsi="Times New Roman" w:cs="Times New Roman"/>
      <w:color w:val="797A7A"/>
      <w:sz w:val="13"/>
      <w:vertAlign w:val="superscript"/>
    </w:rPr>
  </w:style>
  <w:style w:type="character" w:styleId="Hyperlink">
    <w:name w:val="Hyperlink"/>
    <w:basedOn w:val="DefaultParagraphFont"/>
    <w:uiPriority w:val="99"/>
    <w:unhideWhenUsed/>
    <w:rsid w:val="00CB44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C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705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5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AD"/>
  </w:style>
  <w:style w:type="character" w:styleId="PageNumber">
    <w:name w:val="page number"/>
    <w:basedOn w:val="DefaultParagraphFont"/>
    <w:uiPriority w:val="99"/>
    <w:semiHidden/>
    <w:unhideWhenUsed/>
    <w:rsid w:val="002052AD"/>
  </w:style>
  <w:style w:type="paragraph" w:styleId="BalloonText">
    <w:name w:val="Balloon Text"/>
    <w:basedOn w:val="Normal"/>
    <w:link w:val="BalloonTextChar"/>
    <w:uiPriority w:val="99"/>
    <w:semiHidden/>
    <w:unhideWhenUsed/>
    <w:rsid w:val="00EA4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4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8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A10"/>
  </w:style>
  <w:style w:type="character" w:styleId="Emphasis">
    <w:name w:val="Emphasis"/>
    <w:basedOn w:val="DefaultParagraphFont"/>
    <w:uiPriority w:val="20"/>
    <w:qFormat/>
    <w:rsid w:val="00FD64C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D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iencedirect.com/science/article/pii/S073805932030406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eithlewin.net/" TargetMode="External"/><Relationship Id="rId12" Type="http://schemas.openxmlformats.org/officeDocument/2006/relationships/hyperlink" Target="https://openknowledge.worldbank.org/handle/10986/638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D50861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ithlewin.net/wp-content/uploads/2022/02/All-Party-Parliamentary-Group-2012-Low-Cost-Private-School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eithlewin.net/events/" TargetMode="External"/><Relationship Id="rId10" Type="http://schemas.openxmlformats.org/officeDocument/2006/relationships/hyperlink" Target="https://files.eric.ed.gov/fulltext/ED5086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unesco.org/gem-report/non-state_actors" TargetMode="External"/><Relationship Id="rId14" Type="http://schemas.openxmlformats.org/officeDocument/2006/relationships/hyperlink" Target="https://keithlew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9635</Characters>
  <Application>Microsoft Office Word</Application>
  <DocSecurity>0</DocSecurity>
  <Lines>332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Lewin</cp:lastModifiedBy>
  <cp:revision>2</cp:revision>
  <cp:lastPrinted>2022-02-28T12:58:00Z</cp:lastPrinted>
  <dcterms:created xsi:type="dcterms:W3CDTF">2022-02-28T17:19:00Z</dcterms:created>
  <dcterms:modified xsi:type="dcterms:W3CDTF">2022-02-28T17:19:00Z</dcterms:modified>
  <cp:category/>
</cp:coreProperties>
</file>