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FBD0E" w14:textId="272CE16F" w:rsidR="0061687B" w:rsidRPr="000B1514" w:rsidRDefault="003D6CC1" w:rsidP="0061687B">
      <w:pPr>
        <w:jc w:val="both"/>
        <w:rPr>
          <w:rFonts w:ascii="Times New Roman" w:hAnsi="Times New Roman"/>
          <w:b/>
          <w:sz w:val="36"/>
          <w:szCs w:val="36"/>
        </w:rPr>
      </w:pPr>
      <w:r>
        <w:rPr>
          <w:rFonts w:ascii="Times New Roman" w:hAnsi="Times New Roman"/>
          <w:b/>
          <w:sz w:val="36"/>
          <w:szCs w:val="36"/>
        </w:rPr>
        <w:t xml:space="preserve">Final Draft </w:t>
      </w:r>
      <w:r w:rsidR="00012319">
        <w:rPr>
          <w:rFonts w:ascii="Times New Roman" w:hAnsi="Times New Roman"/>
          <w:b/>
          <w:sz w:val="36"/>
          <w:szCs w:val="36"/>
        </w:rPr>
        <w:t>- 8000 Words</w:t>
      </w:r>
      <w:bookmarkStart w:id="0" w:name="_GoBack"/>
      <w:bookmarkEnd w:id="0"/>
    </w:p>
    <w:p w14:paraId="7174CA3A" w14:textId="77777777" w:rsidR="0061687B" w:rsidRPr="000B1514" w:rsidRDefault="0061687B" w:rsidP="0061687B">
      <w:pPr>
        <w:jc w:val="center"/>
        <w:rPr>
          <w:rFonts w:ascii="Times New Roman" w:hAnsi="Times New Roman"/>
          <w:b/>
          <w:sz w:val="36"/>
          <w:szCs w:val="36"/>
        </w:rPr>
      </w:pPr>
    </w:p>
    <w:p w14:paraId="2C1F564D" w14:textId="77777777" w:rsidR="0061687B" w:rsidRPr="000B1514" w:rsidRDefault="0061687B" w:rsidP="0061687B">
      <w:pPr>
        <w:jc w:val="center"/>
        <w:rPr>
          <w:rFonts w:ascii="Times New Roman" w:hAnsi="Times New Roman"/>
          <w:b/>
          <w:sz w:val="36"/>
          <w:szCs w:val="36"/>
        </w:rPr>
      </w:pPr>
      <w:r w:rsidRPr="000B1514">
        <w:rPr>
          <w:rFonts w:ascii="Times New Roman" w:hAnsi="Times New Roman"/>
          <w:b/>
          <w:sz w:val="36"/>
          <w:szCs w:val="36"/>
        </w:rPr>
        <w:t xml:space="preserve">The Sustainable Development Goals for Education; </w:t>
      </w:r>
    </w:p>
    <w:p w14:paraId="287F14EC" w14:textId="493E9A52" w:rsidR="0061687B" w:rsidRPr="000B1514" w:rsidRDefault="0061687B" w:rsidP="0061687B">
      <w:pPr>
        <w:jc w:val="center"/>
        <w:rPr>
          <w:rFonts w:ascii="Times New Roman" w:hAnsi="Times New Roman"/>
          <w:b/>
          <w:sz w:val="36"/>
          <w:szCs w:val="36"/>
        </w:rPr>
      </w:pPr>
      <w:r w:rsidRPr="000B1514">
        <w:rPr>
          <w:rFonts w:ascii="Times New Roman" w:hAnsi="Times New Roman"/>
          <w:b/>
          <w:sz w:val="36"/>
          <w:szCs w:val="36"/>
        </w:rPr>
        <w:t>Commonwealth Perspectives and Opportunities</w:t>
      </w:r>
    </w:p>
    <w:p w14:paraId="01B3072C" w14:textId="77777777" w:rsidR="0061687B" w:rsidRPr="000B1514" w:rsidRDefault="0061687B" w:rsidP="0061687B">
      <w:pPr>
        <w:jc w:val="center"/>
        <w:rPr>
          <w:rFonts w:ascii="Times New Roman" w:hAnsi="Times New Roman"/>
          <w:b/>
          <w:sz w:val="36"/>
          <w:szCs w:val="36"/>
        </w:rPr>
      </w:pPr>
    </w:p>
    <w:p w14:paraId="2E527355" w14:textId="77777777" w:rsidR="0061687B" w:rsidRDefault="0061687B" w:rsidP="0061687B">
      <w:pPr>
        <w:jc w:val="center"/>
        <w:rPr>
          <w:rFonts w:ascii="Times New Roman" w:hAnsi="Times New Roman"/>
          <w:b/>
          <w:sz w:val="36"/>
          <w:szCs w:val="36"/>
        </w:rPr>
      </w:pPr>
      <w:r w:rsidRPr="000B1514">
        <w:rPr>
          <w:rFonts w:ascii="Times New Roman" w:hAnsi="Times New Roman"/>
          <w:b/>
          <w:sz w:val="36"/>
          <w:szCs w:val="36"/>
        </w:rPr>
        <w:t>Keith M Lewin</w:t>
      </w:r>
    </w:p>
    <w:p w14:paraId="0876DF60" w14:textId="77777777" w:rsidR="00AF47C4" w:rsidRDefault="00AF47C4" w:rsidP="0061687B">
      <w:pPr>
        <w:jc w:val="center"/>
        <w:rPr>
          <w:rFonts w:ascii="Times New Roman" w:hAnsi="Times New Roman"/>
          <w:b/>
          <w:sz w:val="36"/>
          <w:szCs w:val="36"/>
        </w:rPr>
      </w:pPr>
    </w:p>
    <w:p w14:paraId="7274A98A" w14:textId="77777777" w:rsidR="00AF47C4" w:rsidRPr="00AF47C4" w:rsidRDefault="00AF47C4" w:rsidP="0061687B">
      <w:pPr>
        <w:jc w:val="center"/>
        <w:rPr>
          <w:rFonts w:ascii="Times New Roman" w:hAnsi="Times New Roman"/>
          <w:b/>
          <w:sz w:val="28"/>
          <w:szCs w:val="28"/>
        </w:rPr>
      </w:pPr>
      <w:r w:rsidRPr="00AF47C4">
        <w:rPr>
          <w:rFonts w:ascii="Times New Roman" w:hAnsi="Times New Roman"/>
          <w:b/>
          <w:sz w:val="28"/>
          <w:szCs w:val="28"/>
        </w:rPr>
        <w:t xml:space="preserve">Emeritus Professor of International Development </w:t>
      </w:r>
    </w:p>
    <w:p w14:paraId="0B7FA2D2" w14:textId="0098FEE2" w:rsidR="00AF47C4" w:rsidRPr="00AF47C4" w:rsidRDefault="00AF47C4" w:rsidP="0061687B">
      <w:pPr>
        <w:jc w:val="center"/>
        <w:rPr>
          <w:rFonts w:ascii="Times New Roman" w:hAnsi="Times New Roman"/>
          <w:b/>
          <w:sz w:val="28"/>
          <w:szCs w:val="28"/>
        </w:rPr>
      </w:pPr>
      <w:proofErr w:type="gramStart"/>
      <w:r w:rsidRPr="00AF47C4">
        <w:rPr>
          <w:rFonts w:ascii="Times New Roman" w:hAnsi="Times New Roman"/>
          <w:b/>
          <w:sz w:val="28"/>
          <w:szCs w:val="28"/>
        </w:rPr>
        <w:t>and</w:t>
      </w:r>
      <w:proofErr w:type="gramEnd"/>
      <w:r w:rsidRPr="00AF47C4">
        <w:rPr>
          <w:rFonts w:ascii="Times New Roman" w:hAnsi="Times New Roman"/>
          <w:b/>
          <w:sz w:val="28"/>
          <w:szCs w:val="28"/>
        </w:rPr>
        <w:t xml:space="preserve"> Education, </w:t>
      </w:r>
    </w:p>
    <w:p w14:paraId="6068C457" w14:textId="3A95FC53" w:rsidR="00AF47C4" w:rsidRPr="00AF47C4" w:rsidRDefault="00AF47C4" w:rsidP="0061687B">
      <w:pPr>
        <w:jc w:val="center"/>
        <w:rPr>
          <w:rFonts w:ascii="Times New Roman" w:hAnsi="Times New Roman"/>
          <w:b/>
          <w:sz w:val="28"/>
          <w:szCs w:val="28"/>
        </w:rPr>
      </w:pPr>
      <w:r w:rsidRPr="00AF47C4">
        <w:rPr>
          <w:rFonts w:ascii="Times New Roman" w:hAnsi="Times New Roman"/>
          <w:b/>
          <w:sz w:val="28"/>
          <w:szCs w:val="28"/>
        </w:rPr>
        <w:t>University of Sussex, U.K.</w:t>
      </w:r>
    </w:p>
    <w:p w14:paraId="26FF7CF1" w14:textId="77777777" w:rsidR="001F477A" w:rsidRDefault="001F477A" w:rsidP="00EC08CD">
      <w:pPr>
        <w:jc w:val="center"/>
        <w:rPr>
          <w:rFonts w:ascii="Times New Roman" w:hAnsi="Times New Roman"/>
          <w:b/>
          <w:sz w:val="36"/>
          <w:szCs w:val="36"/>
        </w:rPr>
      </w:pPr>
    </w:p>
    <w:p w14:paraId="0C07A288" w14:textId="77777777" w:rsidR="000C3163" w:rsidRDefault="000C3163" w:rsidP="00EC08CD">
      <w:pPr>
        <w:jc w:val="center"/>
        <w:rPr>
          <w:rFonts w:ascii="Times New Roman" w:hAnsi="Times New Roman"/>
          <w:b/>
          <w:sz w:val="36"/>
          <w:szCs w:val="36"/>
        </w:rPr>
      </w:pPr>
    </w:p>
    <w:p w14:paraId="53BFEEE2" w14:textId="053C2CF8" w:rsidR="000C3163" w:rsidRDefault="000C3163" w:rsidP="000C3163">
      <w:pPr>
        <w:rPr>
          <w:rFonts w:ascii="Times New Roman" w:hAnsi="Times New Roman"/>
          <w:b/>
          <w:sz w:val="24"/>
          <w:szCs w:val="24"/>
        </w:rPr>
      </w:pPr>
      <w:r w:rsidRPr="000C3163">
        <w:rPr>
          <w:rFonts w:ascii="Times New Roman" w:hAnsi="Times New Roman"/>
          <w:b/>
          <w:sz w:val="24"/>
          <w:szCs w:val="24"/>
        </w:rPr>
        <w:t>Abstract</w:t>
      </w:r>
    </w:p>
    <w:p w14:paraId="35119B08" w14:textId="77777777" w:rsidR="00A04727" w:rsidRDefault="00A04727" w:rsidP="00A04727">
      <w:pPr>
        <w:jc w:val="both"/>
        <w:rPr>
          <w:rFonts w:ascii="Times New Roman" w:hAnsi="Times New Roman"/>
          <w:sz w:val="24"/>
          <w:szCs w:val="24"/>
        </w:rPr>
      </w:pPr>
    </w:p>
    <w:p w14:paraId="522598E3" w14:textId="07672DFC" w:rsidR="00A04727" w:rsidRDefault="00A04727" w:rsidP="00A04727">
      <w:pPr>
        <w:jc w:val="both"/>
        <w:rPr>
          <w:rFonts w:ascii="Times New Roman" w:hAnsi="Times New Roman"/>
          <w:sz w:val="24"/>
          <w:szCs w:val="24"/>
        </w:rPr>
      </w:pPr>
      <w:r>
        <w:rPr>
          <w:rFonts w:ascii="Times New Roman" w:hAnsi="Times New Roman"/>
          <w:sz w:val="24"/>
          <w:szCs w:val="24"/>
        </w:rPr>
        <w:t xml:space="preserve">The Commonwealth is </w:t>
      </w:r>
      <w:r w:rsidRPr="00264F3F">
        <w:rPr>
          <w:rFonts w:ascii="Times New Roman" w:hAnsi="Times New Roman"/>
          <w:sz w:val="24"/>
          <w:szCs w:val="24"/>
        </w:rPr>
        <w:t xml:space="preserve">well placed to play a key role in catalysing </w:t>
      </w:r>
      <w:r>
        <w:rPr>
          <w:rFonts w:ascii="Times New Roman" w:hAnsi="Times New Roman"/>
          <w:sz w:val="24"/>
          <w:szCs w:val="24"/>
        </w:rPr>
        <w:t xml:space="preserve">both </w:t>
      </w:r>
      <w:r w:rsidRPr="00264F3F">
        <w:rPr>
          <w:rFonts w:ascii="Times New Roman" w:hAnsi="Times New Roman"/>
          <w:sz w:val="24"/>
          <w:szCs w:val="24"/>
        </w:rPr>
        <w:t>sustainable educational development</w:t>
      </w:r>
      <w:r>
        <w:rPr>
          <w:rFonts w:ascii="Times New Roman" w:hAnsi="Times New Roman"/>
          <w:sz w:val="24"/>
          <w:szCs w:val="24"/>
        </w:rPr>
        <w:t xml:space="preserve"> (SED) and education for sustainable development ESD. SED generates the conditions under which education systems can deliver rights to education and provide infrastructure, learning materials and teachers for high quality learning. ESD engages with the question learning for what? It challenges educators to develop curricula that will shape the 15,000 hours children spend in school and help the next generation are to manage the many threats to planetary and personal wellbeing.  In 2012 the Commonwealth Minsters set up a Sub-Committee on post 2015 educational development. It produced a framework of Commonwealth Goals and Targets (CMGT). This influenced what became Sustainable Development Goal 4 of the UN Sustainable Development Goals in 2015. This paper is in five parts. First, it offers a descriptive analysis of key features of Commonwealth education systems. Second the Commonwealth Post 2015 framework for education is described. Third, the interrelationships between the framework and the SDGs are discussed. Fourth, the opportunities for the Commonwealth to show leadership in developing their own agenda for the sustainable development are highlighted. Fifth a possible programme for action is outlined. </w:t>
      </w:r>
    </w:p>
    <w:p w14:paraId="0ACC85B5" w14:textId="77777777" w:rsidR="003862B1" w:rsidRDefault="003862B1" w:rsidP="000C3163">
      <w:pPr>
        <w:rPr>
          <w:rFonts w:ascii="Times New Roman" w:hAnsi="Times New Roman"/>
          <w:sz w:val="24"/>
          <w:szCs w:val="24"/>
        </w:rPr>
      </w:pPr>
    </w:p>
    <w:p w14:paraId="78E63D6C" w14:textId="77777777" w:rsidR="003862B1" w:rsidRDefault="003862B1" w:rsidP="003862B1">
      <w:pPr>
        <w:rPr>
          <w:rFonts w:ascii="Times New Roman" w:hAnsi="Times New Roman"/>
          <w:b/>
          <w:sz w:val="24"/>
          <w:szCs w:val="24"/>
        </w:rPr>
      </w:pPr>
    </w:p>
    <w:p w14:paraId="1C5BD725" w14:textId="77777777" w:rsidR="00A04727" w:rsidRDefault="00A04727" w:rsidP="003862B1">
      <w:pPr>
        <w:rPr>
          <w:rFonts w:ascii="Times New Roman" w:hAnsi="Times New Roman"/>
          <w:b/>
          <w:sz w:val="24"/>
          <w:szCs w:val="24"/>
        </w:rPr>
      </w:pPr>
    </w:p>
    <w:p w14:paraId="0A595B92" w14:textId="77777777" w:rsidR="00A04727" w:rsidRDefault="00A04727" w:rsidP="003862B1">
      <w:pPr>
        <w:rPr>
          <w:rFonts w:ascii="Times New Roman" w:hAnsi="Times New Roman"/>
          <w:b/>
          <w:sz w:val="24"/>
          <w:szCs w:val="24"/>
        </w:rPr>
      </w:pPr>
    </w:p>
    <w:p w14:paraId="211A9B33" w14:textId="77777777" w:rsidR="00A04727" w:rsidRDefault="00A04727" w:rsidP="003862B1">
      <w:pPr>
        <w:rPr>
          <w:rFonts w:ascii="Times New Roman" w:hAnsi="Times New Roman"/>
          <w:b/>
          <w:sz w:val="24"/>
          <w:szCs w:val="24"/>
        </w:rPr>
      </w:pPr>
    </w:p>
    <w:p w14:paraId="14C0BEFC" w14:textId="77777777" w:rsidR="00A04727" w:rsidRDefault="00A04727" w:rsidP="003862B1">
      <w:pPr>
        <w:rPr>
          <w:rFonts w:ascii="Times New Roman" w:hAnsi="Times New Roman"/>
          <w:b/>
          <w:sz w:val="24"/>
          <w:szCs w:val="24"/>
        </w:rPr>
      </w:pPr>
    </w:p>
    <w:p w14:paraId="416B79A7" w14:textId="77777777" w:rsidR="00A04727" w:rsidRDefault="00A04727" w:rsidP="003862B1">
      <w:pPr>
        <w:rPr>
          <w:rFonts w:ascii="Times New Roman" w:hAnsi="Times New Roman"/>
          <w:b/>
          <w:sz w:val="24"/>
          <w:szCs w:val="24"/>
        </w:rPr>
      </w:pPr>
    </w:p>
    <w:p w14:paraId="5326C6AC" w14:textId="77777777" w:rsidR="00A04727" w:rsidRDefault="00A04727" w:rsidP="003862B1">
      <w:pPr>
        <w:rPr>
          <w:rFonts w:ascii="Times New Roman" w:hAnsi="Times New Roman"/>
          <w:b/>
          <w:sz w:val="24"/>
          <w:szCs w:val="24"/>
        </w:rPr>
      </w:pPr>
    </w:p>
    <w:p w14:paraId="11A08782" w14:textId="77777777" w:rsidR="00A04727" w:rsidRDefault="00A04727" w:rsidP="003862B1">
      <w:pPr>
        <w:rPr>
          <w:rFonts w:ascii="Times New Roman" w:hAnsi="Times New Roman"/>
          <w:b/>
          <w:sz w:val="24"/>
          <w:szCs w:val="24"/>
        </w:rPr>
      </w:pPr>
    </w:p>
    <w:p w14:paraId="567B4397" w14:textId="77777777" w:rsidR="00A04727" w:rsidRDefault="00A04727" w:rsidP="003862B1">
      <w:pPr>
        <w:rPr>
          <w:rFonts w:ascii="Times New Roman" w:hAnsi="Times New Roman"/>
          <w:b/>
          <w:sz w:val="24"/>
          <w:szCs w:val="24"/>
        </w:rPr>
      </w:pPr>
    </w:p>
    <w:p w14:paraId="51DCEEFE" w14:textId="77777777" w:rsidR="00A04727" w:rsidRDefault="00A04727" w:rsidP="003862B1">
      <w:pPr>
        <w:rPr>
          <w:rFonts w:ascii="Times New Roman" w:hAnsi="Times New Roman"/>
          <w:b/>
          <w:sz w:val="24"/>
          <w:szCs w:val="24"/>
        </w:rPr>
      </w:pPr>
    </w:p>
    <w:p w14:paraId="23C958C6" w14:textId="77777777" w:rsidR="00A04727" w:rsidRDefault="00A04727" w:rsidP="003862B1">
      <w:pPr>
        <w:rPr>
          <w:rFonts w:ascii="Times New Roman" w:hAnsi="Times New Roman"/>
          <w:b/>
          <w:sz w:val="24"/>
          <w:szCs w:val="24"/>
        </w:rPr>
      </w:pPr>
    </w:p>
    <w:p w14:paraId="7E5F56E1" w14:textId="77777777" w:rsidR="00A04727" w:rsidRDefault="00A04727" w:rsidP="003862B1">
      <w:pPr>
        <w:rPr>
          <w:rFonts w:ascii="Times New Roman" w:hAnsi="Times New Roman"/>
          <w:b/>
          <w:sz w:val="24"/>
          <w:szCs w:val="24"/>
        </w:rPr>
      </w:pPr>
    </w:p>
    <w:p w14:paraId="2A94E35C" w14:textId="77777777" w:rsidR="00A04727" w:rsidRDefault="00A04727" w:rsidP="003862B1">
      <w:pPr>
        <w:rPr>
          <w:rFonts w:ascii="Times New Roman" w:hAnsi="Times New Roman"/>
          <w:b/>
          <w:sz w:val="24"/>
          <w:szCs w:val="24"/>
        </w:rPr>
      </w:pPr>
    </w:p>
    <w:p w14:paraId="2CE3105F" w14:textId="77777777" w:rsidR="00A04727" w:rsidRDefault="00A04727" w:rsidP="003862B1">
      <w:pPr>
        <w:rPr>
          <w:rFonts w:ascii="Times New Roman" w:hAnsi="Times New Roman"/>
          <w:b/>
          <w:sz w:val="24"/>
          <w:szCs w:val="24"/>
        </w:rPr>
      </w:pPr>
    </w:p>
    <w:p w14:paraId="1DF7DF16" w14:textId="77777777" w:rsidR="00A04727" w:rsidRDefault="00A04727" w:rsidP="003862B1">
      <w:pPr>
        <w:rPr>
          <w:rFonts w:ascii="Times New Roman" w:hAnsi="Times New Roman"/>
          <w:b/>
          <w:sz w:val="24"/>
          <w:szCs w:val="24"/>
        </w:rPr>
      </w:pPr>
    </w:p>
    <w:p w14:paraId="493608E9" w14:textId="77777777" w:rsidR="00A04727" w:rsidRDefault="00A04727" w:rsidP="003862B1">
      <w:pPr>
        <w:rPr>
          <w:rFonts w:ascii="Times New Roman" w:hAnsi="Times New Roman"/>
          <w:b/>
          <w:sz w:val="24"/>
          <w:szCs w:val="24"/>
        </w:rPr>
      </w:pPr>
    </w:p>
    <w:p w14:paraId="3900BC25" w14:textId="77777777" w:rsidR="00A04727" w:rsidRDefault="00A04727" w:rsidP="003862B1">
      <w:pPr>
        <w:rPr>
          <w:rFonts w:ascii="Times New Roman" w:hAnsi="Times New Roman"/>
          <w:b/>
          <w:sz w:val="24"/>
          <w:szCs w:val="24"/>
        </w:rPr>
      </w:pPr>
    </w:p>
    <w:p w14:paraId="51F82707" w14:textId="0BDAB09D" w:rsidR="0072461C" w:rsidRDefault="0072461C" w:rsidP="0072461C">
      <w:pPr>
        <w:tabs>
          <w:tab w:val="left" w:pos="7160"/>
        </w:tabs>
        <w:rPr>
          <w:rFonts w:ascii="Times New Roman" w:hAnsi="Times New Roman"/>
          <w:b/>
          <w:sz w:val="24"/>
          <w:szCs w:val="24"/>
        </w:rPr>
      </w:pPr>
      <w:r>
        <w:rPr>
          <w:rFonts w:ascii="Times New Roman" w:hAnsi="Times New Roman"/>
          <w:b/>
          <w:sz w:val="24"/>
          <w:szCs w:val="24"/>
        </w:rPr>
        <w:lastRenderedPageBreak/>
        <w:t xml:space="preserve">Corresponding Author: Keith M </w:t>
      </w:r>
      <w:proofErr w:type="gramStart"/>
      <w:r>
        <w:rPr>
          <w:rFonts w:ascii="Times New Roman" w:hAnsi="Times New Roman"/>
          <w:b/>
          <w:sz w:val="24"/>
          <w:szCs w:val="24"/>
        </w:rPr>
        <w:t xml:space="preserve">Lewin  </w:t>
      </w:r>
      <w:proofErr w:type="gramEnd"/>
      <w:r>
        <w:rPr>
          <w:rFonts w:ascii="Times New Roman" w:hAnsi="Times New Roman"/>
          <w:b/>
          <w:sz w:val="24"/>
          <w:szCs w:val="24"/>
        </w:rPr>
        <w:fldChar w:fldCharType="begin"/>
      </w:r>
      <w:r>
        <w:rPr>
          <w:rFonts w:ascii="Times New Roman" w:hAnsi="Times New Roman"/>
          <w:b/>
          <w:sz w:val="24"/>
          <w:szCs w:val="24"/>
        </w:rPr>
        <w:instrText xml:space="preserve"> HYPERLINK "mailto:k.m.lewin@sussex.ac.uk" </w:instrText>
      </w:r>
      <w:r>
        <w:rPr>
          <w:rFonts w:ascii="Times New Roman" w:hAnsi="Times New Roman"/>
          <w:b/>
          <w:sz w:val="24"/>
          <w:szCs w:val="24"/>
        </w:rPr>
        <w:fldChar w:fldCharType="separate"/>
      </w:r>
      <w:r w:rsidRPr="005B7BF3">
        <w:rPr>
          <w:rStyle w:val="Hyperlink"/>
          <w:rFonts w:ascii="Times New Roman" w:hAnsi="Times New Roman"/>
          <w:b/>
          <w:sz w:val="24"/>
          <w:szCs w:val="24"/>
        </w:rPr>
        <w:t>k.m.lewin@sussex.ac.uk</w:t>
      </w:r>
      <w:r>
        <w:rPr>
          <w:rFonts w:ascii="Times New Roman" w:hAnsi="Times New Roman"/>
          <w:b/>
          <w:sz w:val="24"/>
          <w:szCs w:val="24"/>
        </w:rPr>
        <w:fldChar w:fldCharType="end"/>
      </w:r>
      <w:r>
        <w:rPr>
          <w:rFonts w:ascii="Times New Roman" w:hAnsi="Times New Roman"/>
          <w:b/>
          <w:sz w:val="24"/>
          <w:szCs w:val="24"/>
        </w:rPr>
        <w:tab/>
      </w:r>
    </w:p>
    <w:p w14:paraId="40A6F0E3" w14:textId="77777777" w:rsidR="0072461C" w:rsidRDefault="0072461C" w:rsidP="0072461C">
      <w:pPr>
        <w:tabs>
          <w:tab w:val="left" w:pos="7160"/>
        </w:tabs>
        <w:rPr>
          <w:rFonts w:ascii="Times New Roman" w:hAnsi="Times New Roman"/>
          <w:b/>
          <w:sz w:val="24"/>
          <w:szCs w:val="24"/>
        </w:rPr>
      </w:pPr>
    </w:p>
    <w:p w14:paraId="5FB6221E" w14:textId="3B864A3A" w:rsidR="0072461C" w:rsidRDefault="0072461C" w:rsidP="0072461C">
      <w:pPr>
        <w:tabs>
          <w:tab w:val="left" w:pos="7160"/>
        </w:tabs>
        <w:rPr>
          <w:rFonts w:ascii="Times New Roman" w:hAnsi="Times New Roman"/>
          <w:b/>
          <w:sz w:val="24"/>
          <w:szCs w:val="24"/>
        </w:rPr>
      </w:pPr>
      <w:r>
        <w:rPr>
          <w:rFonts w:ascii="Times New Roman" w:hAnsi="Times New Roman"/>
          <w:b/>
          <w:sz w:val="24"/>
          <w:szCs w:val="24"/>
        </w:rPr>
        <w:t xml:space="preserve">Funding:  Research provided by the author pro bono </w:t>
      </w:r>
    </w:p>
    <w:p w14:paraId="03F10561" w14:textId="77777777" w:rsidR="0072461C" w:rsidRDefault="0072461C" w:rsidP="003862B1">
      <w:pPr>
        <w:rPr>
          <w:rFonts w:ascii="Times New Roman" w:hAnsi="Times New Roman"/>
          <w:b/>
          <w:sz w:val="24"/>
          <w:szCs w:val="24"/>
        </w:rPr>
      </w:pPr>
    </w:p>
    <w:p w14:paraId="29DA59F5" w14:textId="569C4BA3" w:rsidR="0072461C" w:rsidRDefault="0072461C" w:rsidP="003862B1">
      <w:pPr>
        <w:rPr>
          <w:rFonts w:ascii="Times New Roman" w:hAnsi="Times New Roman"/>
          <w:b/>
          <w:sz w:val="24"/>
          <w:szCs w:val="24"/>
        </w:rPr>
      </w:pPr>
      <w:r>
        <w:rPr>
          <w:rFonts w:ascii="Times New Roman" w:hAnsi="Times New Roman"/>
          <w:b/>
          <w:sz w:val="24"/>
          <w:szCs w:val="24"/>
        </w:rPr>
        <w:t xml:space="preserve">Kew Words: Sustainable Development, Commonwealth, Education, Aid, Goals, </w:t>
      </w:r>
      <w:proofErr w:type="gramStart"/>
      <w:r>
        <w:rPr>
          <w:rFonts w:ascii="Times New Roman" w:hAnsi="Times New Roman"/>
          <w:b/>
          <w:sz w:val="24"/>
          <w:szCs w:val="24"/>
        </w:rPr>
        <w:t>Targets</w:t>
      </w:r>
      <w:proofErr w:type="gramEnd"/>
    </w:p>
    <w:p w14:paraId="2D7402CD" w14:textId="77777777" w:rsidR="0072461C" w:rsidRDefault="0072461C" w:rsidP="003862B1">
      <w:pPr>
        <w:rPr>
          <w:rFonts w:ascii="Times New Roman" w:hAnsi="Times New Roman"/>
          <w:b/>
          <w:sz w:val="24"/>
          <w:szCs w:val="24"/>
        </w:rPr>
      </w:pPr>
    </w:p>
    <w:p w14:paraId="450E8BE6" w14:textId="2B1A6757" w:rsidR="0072461C" w:rsidRDefault="0072461C" w:rsidP="003862B1">
      <w:pPr>
        <w:rPr>
          <w:rFonts w:ascii="Times New Roman" w:hAnsi="Times New Roman"/>
          <w:b/>
          <w:sz w:val="24"/>
          <w:szCs w:val="24"/>
        </w:rPr>
      </w:pPr>
      <w:r>
        <w:rPr>
          <w:rFonts w:ascii="Times New Roman" w:hAnsi="Times New Roman"/>
          <w:b/>
          <w:sz w:val="24"/>
          <w:szCs w:val="24"/>
        </w:rPr>
        <w:t xml:space="preserve">Disclosure: No conflicts of interest with the content of this paper </w:t>
      </w:r>
    </w:p>
    <w:p w14:paraId="38B9D00A" w14:textId="77777777" w:rsidR="0072461C" w:rsidRDefault="0072461C" w:rsidP="003862B1">
      <w:pPr>
        <w:rPr>
          <w:rFonts w:ascii="Times New Roman" w:hAnsi="Times New Roman"/>
          <w:b/>
          <w:sz w:val="24"/>
          <w:szCs w:val="24"/>
        </w:rPr>
      </w:pPr>
    </w:p>
    <w:p w14:paraId="33CF4BA0" w14:textId="77777777" w:rsidR="003862B1" w:rsidRDefault="003862B1" w:rsidP="003862B1">
      <w:pPr>
        <w:rPr>
          <w:rFonts w:ascii="Times New Roman" w:hAnsi="Times New Roman"/>
          <w:b/>
          <w:sz w:val="24"/>
          <w:szCs w:val="24"/>
        </w:rPr>
      </w:pPr>
      <w:r>
        <w:rPr>
          <w:rFonts w:ascii="Times New Roman" w:hAnsi="Times New Roman"/>
          <w:b/>
          <w:sz w:val="24"/>
          <w:szCs w:val="24"/>
        </w:rPr>
        <w:t>Biography</w:t>
      </w:r>
    </w:p>
    <w:p w14:paraId="3DF58B01" w14:textId="77777777" w:rsidR="003862B1" w:rsidRDefault="003862B1" w:rsidP="003862B1">
      <w:pPr>
        <w:jc w:val="both"/>
        <w:rPr>
          <w:rFonts w:ascii="Arial" w:hAnsi="Arial" w:cs="Arial"/>
          <w:b/>
        </w:rPr>
      </w:pPr>
    </w:p>
    <w:p w14:paraId="1A72F183" w14:textId="77777777" w:rsidR="003862B1" w:rsidRDefault="003862B1" w:rsidP="003862B1">
      <w:pPr>
        <w:jc w:val="both"/>
        <w:rPr>
          <w:rFonts w:ascii="Arial" w:hAnsi="Arial" w:cs="Arial"/>
          <w:color w:val="000000" w:themeColor="text1"/>
        </w:rPr>
      </w:pPr>
      <w:r w:rsidRPr="003F5654">
        <w:rPr>
          <w:rFonts w:ascii="Arial" w:hAnsi="Arial" w:cs="Arial"/>
          <w:b/>
        </w:rPr>
        <w:t>Keith Lewin</w:t>
      </w:r>
      <w:r w:rsidRPr="003F5654">
        <w:rPr>
          <w:rFonts w:ascii="Arial" w:hAnsi="Arial" w:cs="Arial"/>
        </w:rPr>
        <w:t xml:space="preserve"> is the Emeritus Professor of International Development </w:t>
      </w:r>
      <w:r>
        <w:rPr>
          <w:rFonts w:ascii="Arial" w:hAnsi="Arial" w:cs="Arial"/>
        </w:rPr>
        <w:t xml:space="preserve">and Education </w:t>
      </w:r>
      <w:r w:rsidRPr="003F5654">
        <w:rPr>
          <w:rFonts w:ascii="Arial" w:hAnsi="Arial" w:cs="Arial"/>
        </w:rPr>
        <w:t xml:space="preserve">at the University of Sussex. He has worked extensively on education and development in Asia and Africa for over </w:t>
      </w:r>
      <w:r>
        <w:rPr>
          <w:rFonts w:ascii="Arial" w:hAnsi="Arial" w:cs="Arial"/>
        </w:rPr>
        <w:t>45</w:t>
      </w:r>
      <w:r w:rsidRPr="003F5654">
        <w:rPr>
          <w:rFonts w:ascii="Arial" w:hAnsi="Arial" w:cs="Arial"/>
        </w:rPr>
        <w:t xml:space="preserve"> years</w:t>
      </w:r>
      <w:r>
        <w:rPr>
          <w:rFonts w:ascii="Arial" w:hAnsi="Arial" w:cs="Arial"/>
        </w:rPr>
        <w:t xml:space="preserve"> for the World Bank, UNICEF and UNESCO and several bi-lateral agencies, and has coordinated a series of multi-country research projects. He was the technical advisor to the Commonwealth Ministers Sub-Committee on the Post 2015 Framework for Education. Until recently he was </w:t>
      </w:r>
      <w:r>
        <w:rPr>
          <w:rFonts w:ascii="Arial" w:hAnsi="Arial" w:cs="Arial"/>
          <w:color w:val="000000" w:themeColor="text1"/>
        </w:rPr>
        <w:t xml:space="preserve">director of the UK </w:t>
      </w:r>
      <w:r w:rsidRPr="00F7225F">
        <w:rPr>
          <w:rFonts w:ascii="Arial" w:hAnsi="Arial" w:cs="Arial"/>
          <w:color w:val="000000" w:themeColor="text1"/>
        </w:rPr>
        <w:t>DFID funded Research Centre on Educational Access and Equity</w:t>
      </w:r>
      <w:r>
        <w:rPr>
          <w:rFonts w:ascii="Arial" w:hAnsi="Arial" w:cs="Arial"/>
          <w:color w:val="000000" w:themeColor="text1"/>
        </w:rPr>
        <w:t xml:space="preserve"> (CREATE). </w:t>
      </w:r>
      <w:r>
        <w:rPr>
          <w:rFonts w:ascii="Arial" w:hAnsi="Arial" w:cs="Arial"/>
        </w:rPr>
        <w:t xml:space="preserve">Currently he is an Executive Advisor to the African Development Bank. His publications include more than 150 journal articles and books and he has supervised over 50 PhD students. </w:t>
      </w:r>
      <w:r>
        <w:rPr>
          <w:rFonts w:ascii="Arial" w:hAnsi="Arial" w:cs="Arial"/>
          <w:color w:val="000000" w:themeColor="text1"/>
        </w:rPr>
        <w:t xml:space="preserve">He is </w:t>
      </w:r>
      <w:r w:rsidRPr="00F7225F">
        <w:rPr>
          <w:rFonts w:ascii="Arial" w:hAnsi="Arial" w:cs="Arial"/>
          <w:color w:val="000000" w:themeColor="text1"/>
        </w:rPr>
        <w:t>a Fellow of the UK Academy of Social Sciences and a Chartered Physicist</w:t>
      </w:r>
      <w:r>
        <w:rPr>
          <w:rFonts w:ascii="Arial" w:hAnsi="Arial" w:cs="Arial"/>
          <w:color w:val="000000" w:themeColor="text1"/>
        </w:rPr>
        <w:t>, and is Chair of the Trustees of the UK Forum for International Education and Training.</w:t>
      </w:r>
      <w:r w:rsidRPr="00F7225F">
        <w:rPr>
          <w:rFonts w:ascii="Arial" w:hAnsi="Arial" w:cs="Arial"/>
          <w:color w:val="000000" w:themeColor="text1"/>
        </w:rPr>
        <w:t xml:space="preserve">  </w:t>
      </w:r>
    </w:p>
    <w:p w14:paraId="0FE286EC" w14:textId="77777777" w:rsidR="003862B1" w:rsidRDefault="003862B1" w:rsidP="003862B1">
      <w:pPr>
        <w:jc w:val="both"/>
        <w:rPr>
          <w:rFonts w:ascii="Arial" w:hAnsi="Arial" w:cs="Arial"/>
          <w:color w:val="000000" w:themeColor="text1"/>
        </w:rPr>
      </w:pPr>
    </w:p>
    <w:p w14:paraId="005ED23F" w14:textId="77777777" w:rsidR="003862B1" w:rsidRDefault="003862B1" w:rsidP="003862B1">
      <w:pPr>
        <w:jc w:val="both"/>
        <w:rPr>
          <w:rFonts w:ascii="Arial" w:hAnsi="Arial" w:cs="Arial"/>
          <w:color w:val="000000" w:themeColor="text1"/>
        </w:rPr>
      </w:pPr>
    </w:p>
    <w:p w14:paraId="50B46B71" w14:textId="77777777" w:rsidR="003862B1" w:rsidRDefault="003862B1" w:rsidP="003862B1">
      <w:pPr>
        <w:jc w:val="both"/>
        <w:rPr>
          <w:rFonts w:ascii="Arial" w:hAnsi="Arial" w:cs="Arial"/>
          <w:color w:val="000000" w:themeColor="text1"/>
        </w:rPr>
      </w:pPr>
    </w:p>
    <w:p w14:paraId="348A9C81" w14:textId="77777777" w:rsidR="003862B1" w:rsidRDefault="003862B1" w:rsidP="003862B1">
      <w:pPr>
        <w:jc w:val="center"/>
        <w:rPr>
          <w:rFonts w:ascii="Arial" w:hAnsi="Arial" w:cs="Arial"/>
          <w:color w:val="000000" w:themeColor="text1"/>
        </w:rPr>
      </w:pPr>
    </w:p>
    <w:p w14:paraId="4115BAA7" w14:textId="2919FCA4" w:rsidR="003862B1" w:rsidRPr="003862B1" w:rsidRDefault="003862B1" w:rsidP="000C3163">
      <w:pPr>
        <w:rPr>
          <w:rFonts w:ascii="Times New Roman" w:hAnsi="Times New Roman"/>
          <w:sz w:val="24"/>
          <w:szCs w:val="24"/>
        </w:rPr>
        <w:sectPr w:rsidR="003862B1" w:rsidRPr="003862B1" w:rsidSect="00362C31">
          <w:footerReference w:type="even" r:id="rId8"/>
          <w:footerReference w:type="default" r:id="rId9"/>
          <w:pgSz w:w="11900" w:h="16820"/>
          <w:pgMar w:top="1474" w:right="1268" w:bottom="851" w:left="1474" w:header="709" w:footer="709" w:gutter="0"/>
          <w:cols w:space="708"/>
          <w:titlePg/>
          <w:docGrid w:linePitch="360"/>
        </w:sectPr>
      </w:pPr>
      <w:r>
        <w:rPr>
          <w:noProof/>
          <w:color w:val="000000"/>
          <w:sz w:val="20"/>
          <w:szCs w:val="20"/>
          <w:lang w:val="en-US"/>
        </w:rPr>
        <w:drawing>
          <wp:inline distT="0" distB="0" distL="0" distR="0" wp14:anchorId="64FDE8EE" wp14:editId="7BDDEBFE">
            <wp:extent cx="1574800" cy="2531745"/>
            <wp:effectExtent l="0" t="0" r="0" b="8255"/>
            <wp:docPr id="14" name="Picture 14" descr="PLAN_SELECTION_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AN_SELECTION_046"/>
                    <pic:cNvPicPr>
                      <a:picLocks noChangeAspect="1" noChangeArrowheads="1"/>
                    </pic:cNvPicPr>
                  </pic:nvPicPr>
                  <pic:blipFill>
                    <a:blip r:embed="rId10">
                      <a:extLst>
                        <a:ext uri="{28A0092B-C50C-407E-A947-70E740481C1C}">
                          <a14:useLocalDpi xmlns:a14="http://schemas.microsoft.com/office/drawing/2010/main" val="0"/>
                        </a:ext>
                      </a:extLst>
                    </a:blip>
                    <a:srcRect l="4724" r="4724" b="3149"/>
                    <a:stretch>
                      <a:fillRect/>
                    </a:stretch>
                  </pic:blipFill>
                  <pic:spPr bwMode="auto">
                    <a:xfrm>
                      <a:off x="0" y="0"/>
                      <a:ext cx="1574800" cy="2531745"/>
                    </a:xfrm>
                    <a:prstGeom prst="rect">
                      <a:avLst/>
                    </a:prstGeom>
                    <a:noFill/>
                    <a:ln>
                      <a:noFill/>
                    </a:ln>
                  </pic:spPr>
                </pic:pic>
              </a:graphicData>
            </a:graphic>
          </wp:inline>
        </w:drawing>
      </w:r>
    </w:p>
    <w:p w14:paraId="3596E03B" w14:textId="404EB841" w:rsidR="00483F86" w:rsidRPr="000B1514" w:rsidRDefault="00483F86" w:rsidP="00EC08CD">
      <w:pPr>
        <w:jc w:val="center"/>
        <w:rPr>
          <w:rFonts w:ascii="Times New Roman" w:hAnsi="Times New Roman"/>
          <w:b/>
          <w:sz w:val="36"/>
          <w:szCs w:val="36"/>
        </w:rPr>
      </w:pPr>
    </w:p>
    <w:p w14:paraId="586A31C9" w14:textId="77777777" w:rsidR="00A42C10" w:rsidRPr="000B1514" w:rsidRDefault="00A42C10" w:rsidP="00EC08CD">
      <w:pPr>
        <w:jc w:val="center"/>
        <w:rPr>
          <w:rFonts w:ascii="Times New Roman" w:hAnsi="Times New Roman"/>
          <w:b/>
          <w:sz w:val="36"/>
          <w:szCs w:val="36"/>
        </w:rPr>
      </w:pPr>
    </w:p>
    <w:p w14:paraId="3EA0DC5E" w14:textId="70610D3A" w:rsidR="00EC08CD" w:rsidRPr="000B1514" w:rsidRDefault="00581431" w:rsidP="00EC08CD">
      <w:pPr>
        <w:jc w:val="center"/>
        <w:rPr>
          <w:rFonts w:ascii="Times New Roman" w:hAnsi="Times New Roman"/>
          <w:b/>
          <w:sz w:val="36"/>
          <w:szCs w:val="36"/>
        </w:rPr>
      </w:pPr>
      <w:bookmarkStart w:id="1" w:name="_Toc343183211"/>
      <w:r w:rsidRPr="000B1514">
        <w:rPr>
          <w:rFonts w:ascii="Times New Roman" w:hAnsi="Times New Roman"/>
          <w:b/>
          <w:sz w:val="36"/>
          <w:szCs w:val="36"/>
        </w:rPr>
        <w:t>The Sustainable Development Goals for Education;</w:t>
      </w:r>
    </w:p>
    <w:p w14:paraId="78250488" w14:textId="3C32CFDA" w:rsidR="00581431" w:rsidRPr="000B1514" w:rsidRDefault="00581431" w:rsidP="00EC08CD">
      <w:pPr>
        <w:jc w:val="center"/>
        <w:rPr>
          <w:rFonts w:ascii="Times New Roman" w:hAnsi="Times New Roman"/>
          <w:b/>
          <w:sz w:val="36"/>
          <w:szCs w:val="36"/>
        </w:rPr>
      </w:pPr>
      <w:r w:rsidRPr="000B1514">
        <w:rPr>
          <w:rFonts w:ascii="Times New Roman" w:hAnsi="Times New Roman"/>
          <w:b/>
          <w:sz w:val="36"/>
          <w:szCs w:val="36"/>
        </w:rPr>
        <w:t xml:space="preserve">Commonwealth </w:t>
      </w:r>
      <w:r w:rsidR="00422E19" w:rsidRPr="000B1514">
        <w:rPr>
          <w:rFonts w:ascii="Times New Roman" w:hAnsi="Times New Roman"/>
          <w:b/>
          <w:sz w:val="36"/>
          <w:szCs w:val="36"/>
        </w:rPr>
        <w:t xml:space="preserve">Perspectives and </w:t>
      </w:r>
      <w:r w:rsidRPr="000B1514">
        <w:rPr>
          <w:rFonts w:ascii="Times New Roman" w:hAnsi="Times New Roman"/>
          <w:b/>
          <w:sz w:val="36"/>
          <w:szCs w:val="36"/>
        </w:rPr>
        <w:t>Opportunities</w:t>
      </w:r>
    </w:p>
    <w:p w14:paraId="045C9F89" w14:textId="77777777" w:rsidR="00EC08CD" w:rsidRPr="000B1514" w:rsidRDefault="00EC08CD" w:rsidP="00EC08CD">
      <w:pPr>
        <w:jc w:val="center"/>
        <w:rPr>
          <w:rFonts w:ascii="Times New Roman" w:hAnsi="Times New Roman"/>
          <w:b/>
          <w:sz w:val="36"/>
          <w:szCs w:val="36"/>
        </w:rPr>
      </w:pPr>
    </w:p>
    <w:p w14:paraId="3F2BD216" w14:textId="77777777" w:rsidR="00581431" w:rsidRPr="000B1514" w:rsidRDefault="00581431" w:rsidP="00EC08CD">
      <w:pPr>
        <w:jc w:val="center"/>
        <w:rPr>
          <w:rFonts w:ascii="Times New Roman" w:hAnsi="Times New Roman"/>
          <w:b/>
          <w:sz w:val="36"/>
          <w:szCs w:val="36"/>
        </w:rPr>
      </w:pPr>
      <w:r w:rsidRPr="000B1514">
        <w:rPr>
          <w:rFonts w:ascii="Times New Roman" w:hAnsi="Times New Roman"/>
          <w:b/>
          <w:sz w:val="36"/>
          <w:szCs w:val="36"/>
        </w:rPr>
        <w:t>Keith M Lewin</w:t>
      </w:r>
    </w:p>
    <w:p w14:paraId="0F27796D" w14:textId="77777777" w:rsidR="00581431" w:rsidRPr="00264F3F" w:rsidRDefault="00581431" w:rsidP="00264F3F">
      <w:pPr>
        <w:jc w:val="both"/>
        <w:rPr>
          <w:rFonts w:ascii="Times New Roman" w:hAnsi="Times New Roman"/>
          <w:sz w:val="24"/>
          <w:szCs w:val="24"/>
        </w:rPr>
      </w:pPr>
    </w:p>
    <w:p w14:paraId="7869FF7E" w14:textId="77777777" w:rsidR="00581431" w:rsidRPr="009150E3" w:rsidRDefault="00581431" w:rsidP="00264F3F">
      <w:pPr>
        <w:jc w:val="both"/>
        <w:rPr>
          <w:rFonts w:ascii="Times New Roman" w:hAnsi="Times New Roman"/>
          <w:b/>
          <w:sz w:val="24"/>
          <w:szCs w:val="24"/>
        </w:rPr>
      </w:pPr>
    </w:p>
    <w:p w14:paraId="157B8E1F" w14:textId="77777777" w:rsidR="00581431" w:rsidRPr="009150E3" w:rsidRDefault="00581431" w:rsidP="009150E3">
      <w:pPr>
        <w:pStyle w:val="Heading2"/>
      </w:pPr>
      <w:bookmarkStart w:id="2" w:name="_Toc421181401"/>
      <w:r w:rsidRPr="009150E3">
        <w:t>Introduction</w:t>
      </w:r>
      <w:bookmarkEnd w:id="2"/>
    </w:p>
    <w:p w14:paraId="6B19BACD" w14:textId="679DA2E1" w:rsidR="00BF2124" w:rsidRDefault="001344C9" w:rsidP="001344C9">
      <w:pPr>
        <w:jc w:val="both"/>
        <w:rPr>
          <w:rFonts w:ascii="Times New Roman" w:hAnsi="Times New Roman"/>
          <w:sz w:val="24"/>
          <w:szCs w:val="24"/>
        </w:rPr>
      </w:pPr>
      <w:r w:rsidRPr="00264F3F">
        <w:rPr>
          <w:rFonts w:ascii="Times New Roman" w:hAnsi="Times New Roman"/>
          <w:sz w:val="24"/>
          <w:szCs w:val="24"/>
        </w:rPr>
        <w:t xml:space="preserve">The Commonwealth is an </w:t>
      </w:r>
      <w:r w:rsidR="00057F96">
        <w:rPr>
          <w:rFonts w:ascii="Times New Roman" w:hAnsi="Times New Roman"/>
          <w:sz w:val="24"/>
          <w:szCs w:val="24"/>
        </w:rPr>
        <w:t xml:space="preserve">association of States </w:t>
      </w:r>
      <w:r w:rsidRPr="00264F3F">
        <w:rPr>
          <w:rFonts w:ascii="Times New Roman" w:hAnsi="Times New Roman"/>
          <w:sz w:val="24"/>
          <w:szCs w:val="24"/>
        </w:rPr>
        <w:t xml:space="preserve">well placed to play a key role in catalysing </w:t>
      </w:r>
      <w:r w:rsidR="006710DA">
        <w:rPr>
          <w:rFonts w:ascii="Times New Roman" w:hAnsi="Times New Roman"/>
          <w:sz w:val="24"/>
          <w:szCs w:val="24"/>
        </w:rPr>
        <w:t xml:space="preserve">both </w:t>
      </w:r>
      <w:r w:rsidRPr="00264F3F">
        <w:rPr>
          <w:rFonts w:ascii="Times New Roman" w:hAnsi="Times New Roman"/>
          <w:sz w:val="24"/>
          <w:szCs w:val="24"/>
        </w:rPr>
        <w:t>sustainable educational development</w:t>
      </w:r>
      <w:r w:rsidR="006710DA">
        <w:rPr>
          <w:rFonts w:ascii="Times New Roman" w:hAnsi="Times New Roman"/>
          <w:sz w:val="24"/>
          <w:szCs w:val="24"/>
        </w:rPr>
        <w:t xml:space="preserve"> (SED) and education for sustainable development ESD. SED generates and sustains the conditions under which education systems can deliver rights to education and provide infrastructure, learning materials and sufficient teachers</w:t>
      </w:r>
      <w:r w:rsidR="00BF2124">
        <w:rPr>
          <w:rFonts w:ascii="Times New Roman" w:hAnsi="Times New Roman"/>
          <w:sz w:val="24"/>
          <w:szCs w:val="24"/>
        </w:rPr>
        <w:t xml:space="preserve"> for high quality learning to </w:t>
      </w:r>
      <w:r w:rsidR="00057F96">
        <w:rPr>
          <w:rFonts w:ascii="Times New Roman" w:hAnsi="Times New Roman"/>
          <w:sz w:val="24"/>
          <w:szCs w:val="24"/>
        </w:rPr>
        <w:t xml:space="preserve">be </w:t>
      </w:r>
      <w:r w:rsidR="00BF2124">
        <w:rPr>
          <w:rFonts w:ascii="Times New Roman" w:hAnsi="Times New Roman"/>
          <w:sz w:val="24"/>
          <w:szCs w:val="24"/>
        </w:rPr>
        <w:t>available to all. This has to be achieved without a destructive burden on planetary ecology. ES</w:t>
      </w:r>
      <w:r w:rsidR="00553F35">
        <w:rPr>
          <w:rFonts w:ascii="Times New Roman" w:hAnsi="Times New Roman"/>
          <w:sz w:val="24"/>
          <w:szCs w:val="24"/>
        </w:rPr>
        <w:t xml:space="preserve">D reflects engagement with the </w:t>
      </w:r>
      <w:r w:rsidR="00BF2124">
        <w:rPr>
          <w:rFonts w:ascii="Times New Roman" w:hAnsi="Times New Roman"/>
          <w:sz w:val="24"/>
          <w:szCs w:val="24"/>
        </w:rPr>
        <w:t>question learning for what</w:t>
      </w:r>
      <w:r w:rsidR="00553F35">
        <w:rPr>
          <w:rFonts w:ascii="Times New Roman" w:hAnsi="Times New Roman"/>
          <w:sz w:val="24"/>
          <w:szCs w:val="24"/>
        </w:rPr>
        <w:t>?</w:t>
      </w:r>
      <w:r w:rsidR="00BF2124">
        <w:rPr>
          <w:rFonts w:ascii="Times New Roman" w:hAnsi="Times New Roman"/>
          <w:sz w:val="24"/>
          <w:szCs w:val="24"/>
        </w:rPr>
        <w:t xml:space="preserve"> </w:t>
      </w:r>
      <w:r w:rsidR="00057F96">
        <w:rPr>
          <w:rFonts w:ascii="Times New Roman" w:hAnsi="Times New Roman"/>
          <w:sz w:val="24"/>
          <w:szCs w:val="24"/>
        </w:rPr>
        <w:t>It</w:t>
      </w:r>
      <w:r w:rsidR="00553F35">
        <w:rPr>
          <w:rFonts w:ascii="Times New Roman" w:hAnsi="Times New Roman"/>
          <w:sz w:val="24"/>
          <w:szCs w:val="24"/>
        </w:rPr>
        <w:t xml:space="preserve"> </w:t>
      </w:r>
      <w:r w:rsidR="00BF2124">
        <w:rPr>
          <w:rFonts w:ascii="Times New Roman" w:hAnsi="Times New Roman"/>
          <w:sz w:val="24"/>
          <w:szCs w:val="24"/>
        </w:rPr>
        <w:t xml:space="preserve">challenges educators to undertake the kind of curriculum and pedagogic reforms that are needed to determine how the 15,000 hours children spend in school needs to change if the next generation are to behave differently and revalue the future. </w:t>
      </w:r>
    </w:p>
    <w:p w14:paraId="4557965F" w14:textId="77777777" w:rsidR="00057F96" w:rsidRDefault="00057F96" w:rsidP="00057F96">
      <w:pPr>
        <w:jc w:val="both"/>
        <w:rPr>
          <w:rFonts w:ascii="Times New Roman" w:hAnsi="Times New Roman"/>
          <w:sz w:val="24"/>
          <w:szCs w:val="24"/>
        </w:rPr>
      </w:pPr>
    </w:p>
    <w:p w14:paraId="23FB2B4A" w14:textId="3AA3AC15" w:rsidR="00D4141F" w:rsidRDefault="00057F96" w:rsidP="00D4141F">
      <w:pPr>
        <w:jc w:val="both"/>
        <w:rPr>
          <w:rFonts w:ascii="Times New Roman" w:hAnsi="Times New Roman"/>
          <w:sz w:val="24"/>
          <w:szCs w:val="24"/>
        </w:rPr>
      </w:pPr>
      <w:r>
        <w:rPr>
          <w:rFonts w:ascii="Times New Roman" w:hAnsi="Times New Roman"/>
          <w:sz w:val="24"/>
          <w:szCs w:val="24"/>
        </w:rPr>
        <w:t>The Commonwealth Minsters have been meeting since 1959. SED and ESD may well be the biggest challenge that they have confronted. The 20</w:t>
      </w:r>
      <w:r w:rsidRPr="00BF2124">
        <w:rPr>
          <w:rFonts w:ascii="Times New Roman" w:hAnsi="Times New Roman"/>
          <w:sz w:val="24"/>
          <w:szCs w:val="24"/>
          <w:vertAlign w:val="superscript"/>
        </w:rPr>
        <w:t>th</w:t>
      </w:r>
      <w:r>
        <w:rPr>
          <w:rFonts w:ascii="Times New Roman" w:hAnsi="Times New Roman"/>
          <w:sz w:val="24"/>
          <w:szCs w:val="24"/>
        </w:rPr>
        <w:t xml:space="preserve"> CCEM asked</w:t>
      </w:r>
      <w:r w:rsidRPr="00CE0614">
        <w:rPr>
          <w:rFonts w:ascii="Times New Roman" w:hAnsi="Times New Roman"/>
          <w:sz w:val="24"/>
          <w:szCs w:val="24"/>
        </w:rPr>
        <w:t xml:space="preserve"> the question “Sustainability and Resilience: Can Education Deliver</w:t>
      </w:r>
      <w:r>
        <w:rPr>
          <w:rFonts w:ascii="Times New Roman" w:hAnsi="Times New Roman"/>
          <w:sz w:val="24"/>
          <w:szCs w:val="24"/>
        </w:rPr>
        <w:t xml:space="preserve">?” There is probably not much more than a decade to get a definitive answer. </w:t>
      </w:r>
      <w:r w:rsidR="00BF2124">
        <w:rPr>
          <w:rFonts w:ascii="Times New Roman" w:hAnsi="Times New Roman"/>
          <w:sz w:val="24"/>
          <w:szCs w:val="24"/>
        </w:rPr>
        <w:t>In 2012 the Commonwealth Minsters set up a Sub-Committee on post 2015 educational development. It produce</w:t>
      </w:r>
      <w:r w:rsidR="00B11D69">
        <w:rPr>
          <w:rFonts w:ascii="Times New Roman" w:hAnsi="Times New Roman"/>
          <w:sz w:val="24"/>
          <w:szCs w:val="24"/>
        </w:rPr>
        <w:t>d</w:t>
      </w:r>
      <w:r w:rsidR="00BF2124">
        <w:rPr>
          <w:rFonts w:ascii="Times New Roman" w:hAnsi="Times New Roman"/>
          <w:sz w:val="24"/>
          <w:szCs w:val="24"/>
        </w:rPr>
        <w:t xml:space="preserve"> a framewo</w:t>
      </w:r>
      <w:r w:rsidR="00B11D69">
        <w:rPr>
          <w:rFonts w:ascii="Times New Roman" w:hAnsi="Times New Roman"/>
          <w:sz w:val="24"/>
          <w:szCs w:val="24"/>
        </w:rPr>
        <w:t>rk of Commonwealth Goals and Targets (CMGT) and illustrative indicators</w:t>
      </w:r>
      <w:r w:rsidR="00765097">
        <w:rPr>
          <w:rStyle w:val="FootnoteReference"/>
          <w:rFonts w:ascii="Times New Roman" w:hAnsi="Times New Roman"/>
          <w:sz w:val="24"/>
          <w:szCs w:val="24"/>
        </w:rPr>
        <w:footnoteReference w:id="1"/>
      </w:r>
      <w:r w:rsidR="00B11D69">
        <w:rPr>
          <w:rFonts w:ascii="Times New Roman" w:hAnsi="Times New Roman"/>
          <w:sz w:val="24"/>
          <w:szCs w:val="24"/>
        </w:rPr>
        <w:t xml:space="preserve">. This fed into and influenced what became the Sustainable Development Goal 4 of the UN Sustainable Development Goals </w:t>
      </w:r>
      <w:r w:rsidR="007845F7">
        <w:rPr>
          <w:rFonts w:ascii="Times New Roman" w:hAnsi="Times New Roman"/>
          <w:sz w:val="24"/>
          <w:szCs w:val="24"/>
        </w:rPr>
        <w:t xml:space="preserve">(SDGs) </w:t>
      </w:r>
      <w:r w:rsidR="00B11D69">
        <w:rPr>
          <w:rFonts w:ascii="Times New Roman" w:hAnsi="Times New Roman"/>
          <w:sz w:val="24"/>
          <w:szCs w:val="24"/>
        </w:rPr>
        <w:t xml:space="preserve">in 2015. This paper reflects on this process and the challenges that now lie ahead. </w:t>
      </w:r>
    </w:p>
    <w:p w14:paraId="4B6B1194" w14:textId="4A89CFF1" w:rsidR="00B11D69" w:rsidRDefault="00B11D69" w:rsidP="001344C9">
      <w:pPr>
        <w:jc w:val="both"/>
        <w:rPr>
          <w:rFonts w:ascii="Times New Roman" w:hAnsi="Times New Roman"/>
          <w:sz w:val="24"/>
          <w:szCs w:val="24"/>
        </w:rPr>
      </w:pPr>
    </w:p>
    <w:p w14:paraId="515F51DE" w14:textId="473DB54C" w:rsidR="00BF2124" w:rsidRDefault="00B11D69" w:rsidP="001344C9">
      <w:pPr>
        <w:jc w:val="both"/>
        <w:rPr>
          <w:rFonts w:ascii="Times New Roman" w:hAnsi="Times New Roman"/>
          <w:sz w:val="24"/>
          <w:szCs w:val="24"/>
        </w:rPr>
      </w:pPr>
      <w:r>
        <w:rPr>
          <w:rFonts w:ascii="Times New Roman" w:hAnsi="Times New Roman"/>
          <w:sz w:val="24"/>
          <w:szCs w:val="24"/>
        </w:rPr>
        <w:t>First, the paper offers a descriptive analysis of key features of Commonwealth education systems to set the scene</w:t>
      </w:r>
      <w:r w:rsidR="00D4141F">
        <w:rPr>
          <w:rFonts w:ascii="Times New Roman" w:hAnsi="Times New Roman"/>
          <w:sz w:val="24"/>
          <w:szCs w:val="24"/>
        </w:rPr>
        <w:t xml:space="preserve">. Second the Commonwealth Post 2015 framework for education is described. Third, </w:t>
      </w:r>
      <w:r w:rsidR="002E30CE">
        <w:rPr>
          <w:rFonts w:ascii="Times New Roman" w:hAnsi="Times New Roman"/>
          <w:sz w:val="24"/>
          <w:szCs w:val="24"/>
        </w:rPr>
        <w:t>the interrelationships between the framework and the SDGs are discussed. Fourth, the</w:t>
      </w:r>
      <w:r w:rsidR="00D4141F">
        <w:rPr>
          <w:rFonts w:ascii="Times New Roman" w:hAnsi="Times New Roman"/>
          <w:sz w:val="24"/>
          <w:szCs w:val="24"/>
        </w:rPr>
        <w:t xml:space="preserve"> opportunities for the Commonwealth to </w:t>
      </w:r>
      <w:r w:rsidR="00553F35">
        <w:rPr>
          <w:rFonts w:ascii="Times New Roman" w:hAnsi="Times New Roman"/>
          <w:sz w:val="24"/>
          <w:szCs w:val="24"/>
        </w:rPr>
        <w:t>show leadership in developing their own agenda for</w:t>
      </w:r>
      <w:r w:rsidR="00D4141F">
        <w:rPr>
          <w:rFonts w:ascii="Times New Roman" w:hAnsi="Times New Roman"/>
          <w:sz w:val="24"/>
          <w:szCs w:val="24"/>
        </w:rPr>
        <w:t xml:space="preserve"> the sustainable development</w:t>
      </w:r>
      <w:r w:rsidR="00553F35">
        <w:rPr>
          <w:rFonts w:ascii="Times New Roman" w:hAnsi="Times New Roman"/>
          <w:sz w:val="24"/>
          <w:szCs w:val="24"/>
        </w:rPr>
        <w:t xml:space="preserve"> are highlighted. </w:t>
      </w:r>
      <w:r w:rsidR="00D4141F">
        <w:rPr>
          <w:rFonts w:ascii="Times New Roman" w:hAnsi="Times New Roman"/>
          <w:sz w:val="24"/>
          <w:szCs w:val="24"/>
        </w:rPr>
        <w:t>F</w:t>
      </w:r>
      <w:r w:rsidR="002E30CE">
        <w:rPr>
          <w:rFonts w:ascii="Times New Roman" w:hAnsi="Times New Roman"/>
          <w:sz w:val="24"/>
          <w:szCs w:val="24"/>
        </w:rPr>
        <w:t>ifth</w:t>
      </w:r>
      <w:r w:rsidR="00D4141F">
        <w:rPr>
          <w:rFonts w:ascii="Times New Roman" w:hAnsi="Times New Roman"/>
          <w:sz w:val="24"/>
          <w:szCs w:val="24"/>
        </w:rPr>
        <w:t xml:space="preserve"> a possible programme for action is o</w:t>
      </w:r>
      <w:r w:rsidR="008A6F8D">
        <w:rPr>
          <w:rFonts w:ascii="Times New Roman" w:hAnsi="Times New Roman"/>
          <w:sz w:val="24"/>
          <w:szCs w:val="24"/>
        </w:rPr>
        <w:t>utlined</w:t>
      </w:r>
      <w:r w:rsidR="00B85D02">
        <w:rPr>
          <w:rStyle w:val="FootnoteReference"/>
          <w:rFonts w:ascii="Times New Roman" w:hAnsi="Times New Roman"/>
          <w:sz w:val="24"/>
          <w:szCs w:val="24"/>
        </w:rPr>
        <w:footnoteReference w:id="2"/>
      </w:r>
      <w:r w:rsidR="00D4141F">
        <w:rPr>
          <w:rFonts w:ascii="Times New Roman" w:hAnsi="Times New Roman"/>
          <w:sz w:val="24"/>
          <w:szCs w:val="24"/>
        </w:rPr>
        <w:t xml:space="preserve">.   </w:t>
      </w:r>
    </w:p>
    <w:p w14:paraId="0DF8A087" w14:textId="77777777" w:rsidR="00347888" w:rsidRPr="00347888" w:rsidRDefault="00347888" w:rsidP="00347888"/>
    <w:p w14:paraId="03ED1F18" w14:textId="202BFCEE" w:rsidR="00B11D69" w:rsidRDefault="00581431" w:rsidP="008C2991">
      <w:pPr>
        <w:pStyle w:val="Heading2"/>
      </w:pPr>
      <w:bookmarkStart w:id="3" w:name="_Toc421181402"/>
      <w:r w:rsidRPr="009150E3">
        <w:t>Education</w:t>
      </w:r>
      <w:r w:rsidR="00EC08CD">
        <w:t xml:space="preserve"> in the Commonwealth</w:t>
      </w:r>
      <w:bookmarkEnd w:id="3"/>
      <w:r w:rsidR="00EC08CD">
        <w:t xml:space="preserve"> </w:t>
      </w:r>
    </w:p>
    <w:p w14:paraId="5292F2ED" w14:textId="77777777" w:rsidR="008C2991" w:rsidRPr="008C2991" w:rsidRDefault="008C2991" w:rsidP="008C2991"/>
    <w:p w14:paraId="679F6B42" w14:textId="317F8975" w:rsidR="002E30CE" w:rsidRPr="002E30CE" w:rsidRDefault="00581431" w:rsidP="00264F3F">
      <w:pPr>
        <w:jc w:val="both"/>
        <w:rPr>
          <w:rFonts w:ascii="Times New Roman" w:hAnsi="Times New Roman"/>
          <w:sz w:val="20"/>
          <w:szCs w:val="20"/>
        </w:rPr>
      </w:pPr>
      <w:r w:rsidRPr="00264F3F">
        <w:rPr>
          <w:rFonts w:ascii="Times New Roman" w:hAnsi="Times New Roman"/>
          <w:sz w:val="24"/>
          <w:szCs w:val="24"/>
        </w:rPr>
        <w:t>The Commonwealth is very diverse and Commonwealth Member States (CMS) include the very rich an</w:t>
      </w:r>
      <w:r w:rsidR="00EC08CD">
        <w:rPr>
          <w:rFonts w:ascii="Times New Roman" w:hAnsi="Times New Roman"/>
          <w:sz w:val="24"/>
          <w:szCs w:val="24"/>
        </w:rPr>
        <w:t>d the very poor. About 14% are Low Income C</w:t>
      </w:r>
      <w:r w:rsidRPr="00264F3F">
        <w:rPr>
          <w:rFonts w:ascii="Times New Roman" w:hAnsi="Times New Roman"/>
          <w:sz w:val="24"/>
          <w:szCs w:val="24"/>
        </w:rPr>
        <w:t>ountries</w:t>
      </w:r>
      <w:r w:rsidR="00822A8E" w:rsidRPr="00264F3F">
        <w:rPr>
          <w:rFonts w:ascii="Times New Roman" w:hAnsi="Times New Roman"/>
          <w:sz w:val="24"/>
          <w:szCs w:val="24"/>
        </w:rPr>
        <w:t xml:space="preserve"> (LICs)</w:t>
      </w:r>
      <w:r w:rsidR="00EC08CD">
        <w:rPr>
          <w:rFonts w:ascii="Times New Roman" w:hAnsi="Times New Roman"/>
          <w:sz w:val="24"/>
          <w:szCs w:val="24"/>
        </w:rPr>
        <w:t>, 28% Low Middle I</w:t>
      </w:r>
      <w:r w:rsidR="00822A8E" w:rsidRPr="00264F3F">
        <w:rPr>
          <w:rFonts w:ascii="Times New Roman" w:hAnsi="Times New Roman"/>
          <w:sz w:val="24"/>
          <w:szCs w:val="24"/>
        </w:rPr>
        <w:t>n</w:t>
      </w:r>
      <w:r w:rsidR="00EC08CD">
        <w:rPr>
          <w:rFonts w:ascii="Times New Roman" w:hAnsi="Times New Roman"/>
          <w:sz w:val="24"/>
          <w:szCs w:val="24"/>
        </w:rPr>
        <w:t>come Countries (LMICs), 32% Upper Middle Income C</w:t>
      </w:r>
      <w:r w:rsidR="00822A8E" w:rsidRPr="00264F3F">
        <w:rPr>
          <w:rFonts w:ascii="Times New Roman" w:hAnsi="Times New Roman"/>
          <w:sz w:val="24"/>
          <w:szCs w:val="24"/>
        </w:rPr>
        <w:t>oun</w:t>
      </w:r>
      <w:r w:rsidR="00EC08CD">
        <w:rPr>
          <w:rFonts w:ascii="Times New Roman" w:hAnsi="Times New Roman"/>
          <w:sz w:val="24"/>
          <w:szCs w:val="24"/>
        </w:rPr>
        <w:t xml:space="preserve">tries (UMICs) and 26% are High Income Countries (HICs). </w:t>
      </w:r>
      <w:r w:rsidR="00822A8E" w:rsidRPr="00264F3F">
        <w:rPr>
          <w:rFonts w:ascii="Times New Roman" w:hAnsi="Times New Roman"/>
          <w:sz w:val="24"/>
          <w:szCs w:val="24"/>
        </w:rPr>
        <w:t>Surprisingly to some</w:t>
      </w:r>
      <w:r w:rsidR="00EC08CD">
        <w:rPr>
          <w:rFonts w:ascii="Times New Roman" w:hAnsi="Times New Roman"/>
          <w:sz w:val="24"/>
          <w:szCs w:val="24"/>
        </w:rPr>
        <w:t>,</w:t>
      </w:r>
      <w:r w:rsidR="00822A8E" w:rsidRPr="00264F3F">
        <w:rPr>
          <w:rFonts w:ascii="Times New Roman" w:hAnsi="Times New Roman"/>
          <w:sz w:val="24"/>
          <w:szCs w:val="24"/>
        </w:rPr>
        <w:t xml:space="preserve"> the Commonwealth mirrors the global distribution of countries in terms of n</w:t>
      </w:r>
      <w:r w:rsidR="008C2991">
        <w:rPr>
          <w:rFonts w:ascii="Times New Roman" w:hAnsi="Times New Roman"/>
          <w:sz w:val="24"/>
          <w:szCs w:val="24"/>
        </w:rPr>
        <w:t xml:space="preserve">ational income fairly closely. </w:t>
      </w:r>
      <w:r w:rsidR="00822A8E" w:rsidRPr="00264F3F">
        <w:rPr>
          <w:rFonts w:ascii="Times New Roman" w:hAnsi="Times New Roman"/>
          <w:sz w:val="24"/>
          <w:szCs w:val="24"/>
        </w:rPr>
        <w:t>Regionally</w:t>
      </w:r>
      <w:r w:rsidR="00030184" w:rsidRPr="00264F3F">
        <w:rPr>
          <w:rFonts w:ascii="Times New Roman" w:hAnsi="Times New Roman"/>
          <w:sz w:val="24"/>
          <w:szCs w:val="24"/>
        </w:rPr>
        <w:t xml:space="preserve"> 34% of CMSs are in Africa, 14% in Asia, 24% in the Americas and the Caribbean, 6% in</w:t>
      </w:r>
      <w:r w:rsidR="002E30CE">
        <w:rPr>
          <w:rFonts w:ascii="Times New Roman" w:hAnsi="Times New Roman"/>
          <w:sz w:val="24"/>
          <w:szCs w:val="24"/>
        </w:rPr>
        <w:t xml:space="preserve"> Europe and 22% in the Pacific.</w:t>
      </w:r>
      <w:r w:rsidR="00860A74">
        <w:rPr>
          <w:rFonts w:ascii="Times New Roman" w:hAnsi="Times New Roman"/>
          <w:sz w:val="24"/>
          <w:szCs w:val="24"/>
        </w:rPr>
        <w:t xml:space="preserve"> </w:t>
      </w:r>
      <w:r w:rsidR="008C2991">
        <w:rPr>
          <w:rFonts w:ascii="Times New Roman" w:hAnsi="Times New Roman"/>
          <w:sz w:val="24"/>
          <w:szCs w:val="24"/>
        </w:rPr>
        <w:t>Average per capita incomes in LICs, LMICs, UMICs and HICs are about $640, $2,360, $8,000, and $30,900 respectively</w:t>
      </w:r>
      <w:r w:rsidR="00FD7064">
        <w:rPr>
          <w:rFonts w:ascii="Times New Roman" w:hAnsi="Times New Roman"/>
          <w:sz w:val="24"/>
          <w:szCs w:val="24"/>
        </w:rPr>
        <w:t xml:space="preserve"> </w:t>
      </w:r>
      <w:r w:rsidR="008C2991" w:rsidRPr="00264F3F">
        <w:rPr>
          <w:rFonts w:ascii="Times New Roman" w:hAnsi="Times New Roman"/>
          <w:sz w:val="24"/>
          <w:szCs w:val="24"/>
        </w:rPr>
        <w:t xml:space="preserve">showing extreme differences in wealth and financial resources. </w:t>
      </w:r>
      <w:r w:rsidR="00746587">
        <w:rPr>
          <w:rFonts w:ascii="Times New Roman" w:hAnsi="Times New Roman"/>
          <w:sz w:val="24"/>
          <w:szCs w:val="24"/>
        </w:rPr>
        <w:t>Inequali</w:t>
      </w:r>
      <w:r w:rsidR="00745DDF">
        <w:rPr>
          <w:rFonts w:ascii="Times New Roman" w:hAnsi="Times New Roman"/>
          <w:sz w:val="24"/>
          <w:szCs w:val="24"/>
        </w:rPr>
        <w:t>ties are great within countries</w:t>
      </w:r>
      <w:r w:rsidR="00E520A5">
        <w:rPr>
          <w:rFonts w:ascii="Times New Roman" w:hAnsi="Times New Roman"/>
          <w:sz w:val="24"/>
          <w:szCs w:val="24"/>
        </w:rPr>
        <w:t xml:space="preserve">. </w:t>
      </w:r>
      <w:r w:rsidR="00746587">
        <w:rPr>
          <w:rFonts w:ascii="Times New Roman" w:hAnsi="Times New Roman"/>
          <w:sz w:val="24"/>
          <w:szCs w:val="24"/>
        </w:rPr>
        <w:t xml:space="preserve"> </w:t>
      </w:r>
    </w:p>
    <w:p w14:paraId="3AE81313" w14:textId="77777777" w:rsidR="002E30CE" w:rsidRDefault="002E30CE" w:rsidP="00264F3F">
      <w:pPr>
        <w:jc w:val="both"/>
        <w:rPr>
          <w:rFonts w:ascii="Times New Roman" w:hAnsi="Times New Roman"/>
          <w:sz w:val="24"/>
          <w:szCs w:val="24"/>
        </w:rPr>
      </w:pPr>
    </w:p>
    <w:p w14:paraId="35BE578F" w14:textId="162CBF57" w:rsidR="00B11D69" w:rsidRDefault="002E30CE" w:rsidP="00264F3F">
      <w:pPr>
        <w:jc w:val="both"/>
        <w:rPr>
          <w:rFonts w:ascii="Times New Roman" w:hAnsi="Times New Roman"/>
          <w:sz w:val="24"/>
          <w:szCs w:val="24"/>
        </w:rPr>
      </w:pPr>
      <w:r>
        <w:rPr>
          <w:rFonts w:ascii="Times New Roman" w:hAnsi="Times New Roman"/>
          <w:sz w:val="24"/>
          <w:szCs w:val="24"/>
        </w:rPr>
        <w:t>Over 80% of all people in the Commonwealth (2.5 billion) are in LMICs. Overall about 10% of all children are in LICs, 82% in LMICs, 4% in UMICs and 3% in HICs. India, Bangladesh and Pakistan, which are all LMICs, account for 65% of all young people in the Commonwealth. In Africa 40% of young people are in LICs and the rest in LMICs and UMICs.</w:t>
      </w:r>
      <w:r w:rsidRPr="00264F3F">
        <w:rPr>
          <w:rFonts w:ascii="Times New Roman" w:hAnsi="Times New Roman"/>
          <w:sz w:val="24"/>
          <w:szCs w:val="24"/>
        </w:rPr>
        <w:t xml:space="preserve"> </w:t>
      </w:r>
      <w:r w:rsidR="008C2991" w:rsidRPr="00264F3F">
        <w:rPr>
          <w:rFonts w:ascii="Times New Roman" w:hAnsi="Times New Roman"/>
          <w:sz w:val="24"/>
          <w:szCs w:val="24"/>
        </w:rPr>
        <w:t xml:space="preserve">More than half </w:t>
      </w:r>
      <w:r w:rsidR="00746587">
        <w:rPr>
          <w:rFonts w:ascii="Times New Roman" w:hAnsi="Times New Roman"/>
          <w:sz w:val="24"/>
          <w:szCs w:val="24"/>
        </w:rPr>
        <w:t xml:space="preserve">the population </w:t>
      </w:r>
      <w:r w:rsidR="008C2991" w:rsidRPr="00264F3F">
        <w:rPr>
          <w:rFonts w:ascii="Times New Roman" w:hAnsi="Times New Roman"/>
          <w:sz w:val="24"/>
          <w:szCs w:val="24"/>
        </w:rPr>
        <w:t>in the poorest countries are below national poverty lines.</w:t>
      </w:r>
      <w:r w:rsidR="008C2991">
        <w:rPr>
          <w:rFonts w:ascii="Times New Roman" w:hAnsi="Times New Roman"/>
          <w:sz w:val="24"/>
          <w:szCs w:val="24"/>
        </w:rPr>
        <w:t xml:space="preserve"> </w:t>
      </w:r>
      <w:r w:rsidR="00581431" w:rsidRPr="00264F3F">
        <w:rPr>
          <w:rFonts w:ascii="Times New Roman" w:hAnsi="Times New Roman"/>
          <w:sz w:val="24"/>
          <w:szCs w:val="24"/>
        </w:rPr>
        <w:t xml:space="preserve">The richest countries have population growth below 1 per cent and are likely to have fewer children than adults in the population and declining enrolment in schools. The poorest countries have population growth over 2.5 per cent, with a doubling of the number of children every 25 years or so. They have many more children than working adults. </w:t>
      </w:r>
    </w:p>
    <w:p w14:paraId="338224B6" w14:textId="77777777" w:rsidR="00EF5586" w:rsidRPr="00264F3F" w:rsidRDefault="00EF5586" w:rsidP="00264F3F">
      <w:pPr>
        <w:jc w:val="both"/>
        <w:rPr>
          <w:rFonts w:ascii="Times New Roman" w:hAnsi="Times New Roman"/>
          <w:sz w:val="24"/>
          <w:szCs w:val="24"/>
        </w:rPr>
      </w:pPr>
    </w:p>
    <w:p w14:paraId="3289555D" w14:textId="33135B43" w:rsidR="00581431" w:rsidRPr="00264F3F" w:rsidRDefault="00581431" w:rsidP="00264F3F">
      <w:pPr>
        <w:jc w:val="both"/>
        <w:rPr>
          <w:rFonts w:ascii="Times New Roman" w:hAnsi="Times New Roman"/>
          <w:sz w:val="24"/>
          <w:szCs w:val="24"/>
        </w:rPr>
      </w:pPr>
      <w:r w:rsidRPr="00264F3F">
        <w:rPr>
          <w:rFonts w:ascii="Times New Roman" w:hAnsi="Times New Roman"/>
          <w:sz w:val="24"/>
          <w:szCs w:val="24"/>
        </w:rPr>
        <w:t>Commonwealth countries have high enrolment rates at primary level, with average gross enrolment rates (GERs) well over 100 per cent</w:t>
      </w:r>
      <w:r w:rsidRPr="007C0468">
        <w:rPr>
          <w:rFonts w:ascii="Times New Roman" w:hAnsi="Times New Roman"/>
          <w:sz w:val="20"/>
          <w:szCs w:val="20"/>
        </w:rPr>
        <w:t>.</w:t>
      </w:r>
      <w:r w:rsidR="00FD7064">
        <w:rPr>
          <w:rFonts w:ascii="Times New Roman" w:hAnsi="Times New Roman"/>
          <w:sz w:val="20"/>
          <w:szCs w:val="20"/>
        </w:rPr>
        <w:t xml:space="preserve"> </w:t>
      </w:r>
      <w:r w:rsidRPr="00264F3F">
        <w:rPr>
          <w:rFonts w:ascii="Times New Roman" w:hAnsi="Times New Roman"/>
          <w:sz w:val="24"/>
          <w:szCs w:val="24"/>
        </w:rPr>
        <w:t xml:space="preserve">In </w:t>
      </w:r>
      <w:r w:rsidR="00EB29DF">
        <w:rPr>
          <w:rFonts w:ascii="Times New Roman" w:hAnsi="Times New Roman"/>
          <w:sz w:val="24"/>
          <w:szCs w:val="24"/>
        </w:rPr>
        <w:t>LICs and LMICs</w:t>
      </w:r>
      <w:r w:rsidRPr="00264F3F">
        <w:rPr>
          <w:rFonts w:ascii="Times New Roman" w:hAnsi="Times New Roman"/>
          <w:sz w:val="24"/>
          <w:szCs w:val="24"/>
        </w:rPr>
        <w:t xml:space="preserve"> between 20 and 30 per cent of primary school children are over</w:t>
      </w:r>
      <w:r w:rsidR="005564C9">
        <w:rPr>
          <w:rFonts w:ascii="Times New Roman" w:hAnsi="Times New Roman"/>
          <w:sz w:val="24"/>
          <w:szCs w:val="24"/>
        </w:rPr>
        <w:t xml:space="preserve"> </w:t>
      </w:r>
      <w:r w:rsidRPr="00264F3F">
        <w:rPr>
          <w:rFonts w:ascii="Times New Roman" w:hAnsi="Times New Roman"/>
          <w:sz w:val="24"/>
          <w:szCs w:val="24"/>
        </w:rPr>
        <w:t xml:space="preserve">age by two years or more. </w:t>
      </w:r>
      <w:r w:rsidR="005564C9">
        <w:rPr>
          <w:rFonts w:ascii="Times New Roman" w:hAnsi="Times New Roman"/>
          <w:sz w:val="24"/>
          <w:szCs w:val="24"/>
        </w:rPr>
        <w:t xml:space="preserve">Being over </w:t>
      </w:r>
      <w:r w:rsidR="00EB29DF">
        <w:rPr>
          <w:rFonts w:ascii="Times New Roman" w:hAnsi="Times New Roman"/>
          <w:sz w:val="24"/>
          <w:szCs w:val="24"/>
        </w:rPr>
        <w:t xml:space="preserve">age </w:t>
      </w:r>
      <w:r w:rsidRPr="00264F3F">
        <w:rPr>
          <w:rFonts w:ascii="Times New Roman" w:hAnsi="Times New Roman"/>
          <w:sz w:val="24"/>
          <w:szCs w:val="24"/>
        </w:rPr>
        <w:t>compromises their learning and disadvantages them in high stakes sele</w:t>
      </w:r>
      <w:r w:rsidR="00EB29DF">
        <w:rPr>
          <w:rFonts w:ascii="Times New Roman" w:hAnsi="Times New Roman"/>
          <w:sz w:val="24"/>
          <w:szCs w:val="24"/>
        </w:rPr>
        <w:t>ction examinations</w:t>
      </w:r>
      <w:r w:rsidR="00765097">
        <w:rPr>
          <w:rFonts w:ascii="Times New Roman" w:hAnsi="Times New Roman"/>
          <w:sz w:val="24"/>
          <w:szCs w:val="24"/>
        </w:rPr>
        <w:t xml:space="preserve"> (CREATE 2011)</w:t>
      </w:r>
      <w:r w:rsidRPr="00264F3F">
        <w:rPr>
          <w:rFonts w:ascii="Times New Roman" w:hAnsi="Times New Roman"/>
          <w:sz w:val="24"/>
          <w:szCs w:val="24"/>
        </w:rPr>
        <w:t xml:space="preserve">. </w:t>
      </w:r>
      <w:r w:rsidR="0097260F">
        <w:rPr>
          <w:rFonts w:ascii="Times New Roman" w:hAnsi="Times New Roman"/>
          <w:sz w:val="24"/>
          <w:szCs w:val="24"/>
        </w:rPr>
        <w:t xml:space="preserve">Where many schools are small, as in India, unless there are </w:t>
      </w:r>
      <w:r w:rsidR="0097260F" w:rsidRPr="00264F3F">
        <w:rPr>
          <w:rFonts w:ascii="Times New Roman" w:hAnsi="Times New Roman"/>
          <w:sz w:val="24"/>
          <w:szCs w:val="24"/>
        </w:rPr>
        <w:t>multi-graded schools</w:t>
      </w:r>
      <w:r w:rsidR="0097260F">
        <w:rPr>
          <w:rFonts w:ascii="Times New Roman" w:hAnsi="Times New Roman"/>
          <w:sz w:val="24"/>
          <w:szCs w:val="24"/>
        </w:rPr>
        <w:t xml:space="preserve"> many will drop out</w:t>
      </w:r>
      <w:r w:rsidR="0097260F" w:rsidRPr="00264F3F">
        <w:rPr>
          <w:rFonts w:ascii="Times New Roman" w:hAnsi="Times New Roman"/>
          <w:sz w:val="24"/>
          <w:szCs w:val="24"/>
        </w:rPr>
        <w:t xml:space="preserve"> (Little, 2004). </w:t>
      </w:r>
      <w:r w:rsidR="00FD7064">
        <w:rPr>
          <w:rFonts w:ascii="Times New Roman" w:hAnsi="Times New Roman"/>
          <w:sz w:val="24"/>
          <w:szCs w:val="24"/>
        </w:rPr>
        <w:t>G</w:t>
      </w:r>
      <w:r w:rsidRPr="00264F3F">
        <w:rPr>
          <w:rFonts w:ascii="Times New Roman" w:hAnsi="Times New Roman"/>
          <w:sz w:val="24"/>
          <w:szCs w:val="24"/>
        </w:rPr>
        <w:t>ender parity in enrolment has largely been achieved at primary level</w:t>
      </w:r>
      <w:r w:rsidR="00FD7064">
        <w:rPr>
          <w:rFonts w:ascii="Times New Roman" w:hAnsi="Times New Roman"/>
          <w:sz w:val="24"/>
          <w:szCs w:val="24"/>
        </w:rPr>
        <w:t xml:space="preserve"> with an average of 49% girls and 51% boys across the Commonwealth</w:t>
      </w:r>
      <w:r w:rsidRPr="00264F3F">
        <w:rPr>
          <w:rFonts w:ascii="Times New Roman" w:hAnsi="Times New Roman"/>
          <w:sz w:val="24"/>
          <w:szCs w:val="24"/>
        </w:rPr>
        <w:t xml:space="preserve"> with more girls enrolled in ric</w:t>
      </w:r>
      <w:r w:rsidR="005564C9">
        <w:rPr>
          <w:rFonts w:ascii="Times New Roman" w:hAnsi="Times New Roman"/>
          <w:sz w:val="24"/>
          <w:szCs w:val="24"/>
        </w:rPr>
        <w:t xml:space="preserve">her countries. Only one country – Pakistan – has a ratio of girls to boys </w:t>
      </w:r>
      <w:r w:rsidRPr="00264F3F">
        <w:rPr>
          <w:rFonts w:ascii="Times New Roman" w:hAnsi="Times New Roman"/>
          <w:sz w:val="24"/>
          <w:szCs w:val="24"/>
        </w:rPr>
        <w:t>below 47 p</w:t>
      </w:r>
      <w:r w:rsidR="00FD7064">
        <w:rPr>
          <w:rFonts w:ascii="Times New Roman" w:hAnsi="Times New Roman"/>
          <w:sz w:val="24"/>
          <w:szCs w:val="24"/>
        </w:rPr>
        <w:t xml:space="preserve">er cent according (UIS, 2017). </w:t>
      </w:r>
      <w:r w:rsidRPr="00264F3F">
        <w:rPr>
          <w:rFonts w:ascii="Times New Roman" w:hAnsi="Times New Roman"/>
          <w:sz w:val="24"/>
          <w:szCs w:val="24"/>
        </w:rPr>
        <w:t xml:space="preserve">In every country in Africa </w:t>
      </w:r>
      <w:r w:rsidR="00682F22">
        <w:rPr>
          <w:rFonts w:ascii="Times New Roman" w:hAnsi="Times New Roman"/>
          <w:sz w:val="24"/>
          <w:szCs w:val="24"/>
        </w:rPr>
        <w:t xml:space="preserve">that </w:t>
      </w:r>
      <w:r w:rsidRPr="00264F3F">
        <w:rPr>
          <w:rFonts w:ascii="Times New Roman" w:hAnsi="Times New Roman"/>
          <w:sz w:val="24"/>
          <w:szCs w:val="24"/>
        </w:rPr>
        <w:t>tak</w:t>
      </w:r>
      <w:r w:rsidR="00682F22">
        <w:rPr>
          <w:rFonts w:ascii="Times New Roman" w:hAnsi="Times New Roman"/>
          <w:sz w:val="24"/>
          <w:szCs w:val="24"/>
        </w:rPr>
        <w:t xml:space="preserve">es the </w:t>
      </w:r>
      <w:r w:rsidRPr="00264F3F">
        <w:rPr>
          <w:rFonts w:ascii="Times New Roman" w:hAnsi="Times New Roman"/>
          <w:sz w:val="24"/>
          <w:szCs w:val="24"/>
        </w:rPr>
        <w:t xml:space="preserve">Southern African Consortium for Measuring Educational Quality assessments, girls are on average now younger than boys, suggesting they enter earlier and progress faster.      </w:t>
      </w:r>
    </w:p>
    <w:p w14:paraId="2D784BB0" w14:textId="77777777" w:rsidR="00FD7064" w:rsidRPr="00264F3F" w:rsidRDefault="00FD7064" w:rsidP="00264F3F">
      <w:pPr>
        <w:jc w:val="both"/>
        <w:rPr>
          <w:rFonts w:ascii="Times New Roman" w:hAnsi="Times New Roman"/>
          <w:sz w:val="24"/>
          <w:szCs w:val="24"/>
        </w:rPr>
      </w:pPr>
    </w:p>
    <w:p w14:paraId="20DB5D1C" w14:textId="22F391B3" w:rsidR="00581431" w:rsidRDefault="00581431" w:rsidP="00264F3F">
      <w:pPr>
        <w:jc w:val="both"/>
        <w:rPr>
          <w:rFonts w:ascii="Times New Roman" w:hAnsi="Times New Roman"/>
          <w:sz w:val="24"/>
          <w:szCs w:val="24"/>
        </w:rPr>
      </w:pPr>
      <w:r w:rsidRPr="00264F3F">
        <w:rPr>
          <w:rFonts w:ascii="Times New Roman" w:hAnsi="Times New Roman"/>
          <w:sz w:val="24"/>
          <w:szCs w:val="24"/>
        </w:rPr>
        <w:t xml:space="preserve">Enrolments at secondary level are yet to reach universal levels </w:t>
      </w:r>
      <w:r w:rsidR="0097260F">
        <w:rPr>
          <w:rFonts w:ascii="Times New Roman" w:hAnsi="Times New Roman"/>
          <w:sz w:val="24"/>
          <w:szCs w:val="24"/>
        </w:rPr>
        <w:t>and in</w:t>
      </w:r>
      <w:r w:rsidRPr="00264F3F">
        <w:rPr>
          <w:rFonts w:ascii="Times New Roman" w:hAnsi="Times New Roman"/>
          <w:sz w:val="24"/>
          <w:szCs w:val="24"/>
        </w:rPr>
        <w:t xml:space="preserve"> </w:t>
      </w:r>
      <w:r w:rsidR="0021526A">
        <w:rPr>
          <w:rFonts w:ascii="Times New Roman" w:hAnsi="Times New Roman"/>
          <w:sz w:val="24"/>
          <w:szCs w:val="24"/>
        </w:rPr>
        <w:t>LICs</w:t>
      </w:r>
      <w:r w:rsidR="0097260F">
        <w:rPr>
          <w:rFonts w:ascii="Times New Roman" w:hAnsi="Times New Roman"/>
          <w:sz w:val="24"/>
          <w:szCs w:val="24"/>
        </w:rPr>
        <w:t xml:space="preserve"> </w:t>
      </w:r>
      <w:r w:rsidRPr="00264F3F">
        <w:rPr>
          <w:rFonts w:ascii="Times New Roman" w:hAnsi="Times New Roman"/>
          <w:sz w:val="24"/>
          <w:szCs w:val="24"/>
        </w:rPr>
        <w:t xml:space="preserve">the GER </w:t>
      </w:r>
      <w:r w:rsidR="0097260F">
        <w:rPr>
          <w:rFonts w:ascii="Times New Roman" w:hAnsi="Times New Roman"/>
          <w:sz w:val="24"/>
          <w:szCs w:val="24"/>
        </w:rPr>
        <w:t xml:space="preserve">average </w:t>
      </w:r>
      <w:r w:rsidRPr="00264F3F">
        <w:rPr>
          <w:rFonts w:ascii="Times New Roman" w:hAnsi="Times New Roman"/>
          <w:sz w:val="24"/>
          <w:szCs w:val="24"/>
        </w:rPr>
        <w:t xml:space="preserve">is only 36 per cent, and in </w:t>
      </w:r>
      <w:r w:rsidR="0021526A">
        <w:rPr>
          <w:rFonts w:ascii="Times New Roman" w:hAnsi="Times New Roman"/>
          <w:sz w:val="24"/>
          <w:szCs w:val="24"/>
        </w:rPr>
        <w:t>LMICs</w:t>
      </w:r>
      <w:r w:rsidRPr="00264F3F">
        <w:rPr>
          <w:rFonts w:ascii="Times New Roman" w:hAnsi="Times New Roman"/>
          <w:sz w:val="24"/>
          <w:szCs w:val="24"/>
        </w:rPr>
        <w:t xml:space="preserve"> it is 69 per cent. GERs in </w:t>
      </w:r>
      <w:r w:rsidR="0021526A">
        <w:rPr>
          <w:rFonts w:ascii="Times New Roman" w:hAnsi="Times New Roman"/>
          <w:sz w:val="24"/>
          <w:szCs w:val="24"/>
        </w:rPr>
        <w:t>UMICs</w:t>
      </w:r>
      <w:r w:rsidRPr="00264F3F">
        <w:rPr>
          <w:rFonts w:ascii="Times New Roman" w:hAnsi="Times New Roman"/>
          <w:sz w:val="24"/>
          <w:szCs w:val="24"/>
        </w:rPr>
        <w:t xml:space="preserve"> exceed 93 per cent and those in </w:t>
      </w:r>
      <w:r w:rsidR="00E95C56">
        <w:rPr>
          <w:rFonts w:ascii="Times New Roman" w:hAnsi="Times New Roman"/>
          <w:sz w:val="24"/>
          <w:szCs w:val="24"/>
        </w:rPr>
        <w:t xml:space="preserve">HICs </w:t>
      </w:r>
      <w:r w:rsidRPr="00264F3F">
        <w:rPr>
          <w:rFonts w:ascii="Times New Roman" w:hAnsi="Times New Roman"/>
          <w:sz w:val="24"/>
          <w:szCs w:val="24"/>
        </w:rPr>
        <w:t xml:space="preserve">are over 100 per cent.  Considerably more children appear overage in secondary than in primary, with between 45 and 29 per cent overage in </w:t>
      </w:r>
      <w:r w:rsidR="00B11D69">
        <w:rPr>
          <w:rFonts w:ascii="Times New Roman" w:hAnsi="Times New Roman"/>
          <w:sz w:val="24"/>
          <w:szCs w:val="24"/>
        </w:rPr>
        <w:t>LICs and LMICs</w:t>
      </w:r>
      <w:r w:rsidRPr="00264F3F">
        <w:rPr>
          <w:rFonts w:ascii="Times New Roman" w:hAnsi="Times New Roman"/>
          <w:sz w:val="24"/>
          <w:szCs w:val="24"/>
        </w:rPr>
        <w:t xml:space="preserve">. The problem is non-existent in </w:t>
      </w:r>
      <w:r w:rsidR="0021526A">
        <w:rPr>
          <w:rFonts w:ascii="Times New Roman" w:hAnsi="Times New Roman"/>
          <w:sz w:val="24"/>
          <w:szCs w:val="24"/>
        </w:rPr>
        <w:t>HIC</w:t>
      </w:r>
      <w:r w:rsidR="0097260F">
        <w:rPr>
          <w:rFonts w:ascii="Times New Roman" w:hAnsi="Times New Roman"/>
          <w:sz w:val="24"/>
          <w:szCs w:val="24"/>
        </w:rPr>
        <w:t>s</w:t>
      </w:r>
      <w:r w:rsidRPr="00264F3F">
        <w:rPr>
          <w:rFonts w:ascii="Times New Roman" w:hAnsi="Times New Roman"/>
          <w:sz w:val="24"/>
          <w:szCs w:val="24"/>
        </w:rPr>
        <w:t xml:space="preserve">. </w:t>
      </w:r>
      <w:r w:rsidR="0097260F">
        <w:rPr>
          <w:rFonts w:ascii="Times New Roman" w:hAnsi="Times New Roman"/>
          <w:sz w:val="24"/>
          <w:szCs w:val="24"/>
        </w:rPr>
        <w:t xml:space="preserve">In LICs </w:t>
      </w:r>
      <w:r w:rsidRPr="00264F3F">
        <w:rPr>
          <w:rFonts w:ascii="Times New Roman" w:hAnsi="Times New Roman"/>
          <w:sz w:val="24"/>
          <w:szCs w:val="24"/>
        </w:rPr>
        <w:t>many students fail to make the transition</w:t>
      </w:r>
      <w:r w:rsidR="0097260F">
        <w:rPr>
          <w:rFonts w:ascii="Times New Roman" w:hAnsi="Times New Roman"/>
          <w:sz w:val="24"/>
          <w:szCs w:val="24"/>
        </w:rPr>
        <w:t xml:space="preserve"> from lower to upper secondary. </w:t>
      </w:r>
      <w:r w:rsidRPr="00264F3F">
        <w:rPr>
          <w:rFonts w:ascii="Times New Roman" w:hAnsi="Times New Roman"/>
          <w:sz w:val="24"/>
          <w:szCs w:val="24"/>
        </w:rPr>
        <w:t xml:space="preserve">Gender issues persist </w:t>
      </w:r>
      <w:r w:rsidR="0097260F">
        <w:rPr>
          <w:rFonts w:ascii="Times New Roman" w:hAnsi="Times New Roman"/>
          <w:sz w:val="24"/>
          <w:szCs w:val="24"/>
        </w:rPr>
        <w:t>and</w:t>
      </w:r>
      <w:r w:rsidRPr="00264F3F">
        <w:rPr>
          <w:rFonts w:ascii="Times New Roman" w:hAnsi="Times New Roman"/>
          <w:sz w:val="24"/>
          <w:szCs w:val="24"/>
        </w:rPr>
        <w:t xml:space="preserve"> now take many nuanced forms</w:t>
      </w:r>
      <w:r w:rsidR="00746587">
        <w:rPr>
          <w:rFonts w:ascii="Times New Roman" w:hAnsi="Times New Roman"/>
          <w:sz w:val="24"/>
          <w:szCs w:val="24"/>
        </w:rPr>
        <w:t xml:space="preserve"> and multidimensional poverty affects both boys and girls.</w:t>
      </w:r>
      <w:r w:rsidRPr="00264F3F">
        <w:rPr>
          <w:rFonts w:ascii="Times New Roman" w:hAnsi="Times New Roman"/>
          <w:sz w:val="24"/>
          <w:szCs w:val="24"/>
        </w:rPr>
        <w:t xml:space="preserve"> Generally, while the poorest girls face many barriers to accessing education, once in school their retenti</w:t>
      </w:r>
      <w:r w:rsidR="00746587">
        <w:rPr>
          <w:rFonts w:ascii="Times New Roman" w:hAnsi="Times New Roman"/>
          <w:sz w:val="24"/>
          <w:szCs w:val="24"/>
        </w:rPr>
        <w:t xml:space="preserve">on is better than that of </w:t>
      </w:r>
      <w:r w:rsidR="00682F22">
        <w:rPr>
          <w:rFonts w:ascii="Times New Roman" w:hAnsi="Times New Roman"/>
          <w:sz w:val="24"/>
          <w:szCs w:val="24"/>
        </w:rPr>
        <w:t xml:space="preserve">poor </w:t>
      </w:r>
      <w:r w:rsidRPr="00264F3F">
        <w:rPr>
          <w:rFonts w:ascii="Times New Roman" w:hAnsi="Times New Roman"/>
          <w:sz w:val="24"/>
          <w:szCs w:val="24"/>
        </w:rPr>
        <w:t>male</w:t>
      </w:r>
      <w:r w:rsidR="00746587">
        <w:rPr>
          <w:rFonts w:ascii="Times New Roman" w:hAnsi="Times New Roman"/>
          <w:sz w:val="24"/>
          <w:szCs w:val="24"/>
        </w:rPr>
        <w:t>s</w:t>
      </w:r>
      <w:r w:rsidRPr="00264F3F">
        <w:rPr>
          <w:rFonts w:ascii="Times New Roman" w:hAnsi="Times New Roman"/>
          <w:sz w:val="24"/>
          <w:szCs w:val="24"/>
        </w:rPr>
        <w:t xml:space="preserve"> (UNESCO, 2016a). H</w:t>
      </w:r>
      <w:r w:rsidR="0021526A">
        <w:rPr>
          <w:rFonts w:ascii="Times New Roman" w:hAnsi="Times New Roman"/>
          <w:sz w:val="24"/>
          <w:szCs w:val="24"/>
        </w:rPr>
        <w:t xml:space="preserve">igh and </w:t>
      </w:r>
      <w:proofErr w:type="gramStart"/>
      <w:r w:rsidR="0021526A">
        <w:rPr>
          <w:rFonts w:ascii="Times New Roman" w:hAnsi="Times New Roman"/>
          <w:sz w:val="24"/>
          <w:szCs w:val="24"/>
        </w:rPr>
        <w:t>middle income</w:t>
      </w:r>
      <w:proofErr w:type="gramEnd"/>
      <w:r w:rsidR="0021526A">
        <w:rPr>
          <w:rFonts w:ascii="Times New Roman" w:hAnsi="Times New Roman"/>
          <w:sz w:val="24"/>
          <w:szCs w:val="24"/>
        </w:rPr>
        <w:t xml:space="preserve"> </w:t>
      </w:r>
      <w:r w:rsidRPr="00264F3F">
        <w:rPr>
          <w:rFonts w:ascii="Times New Roman" w:hAnsi="Times New Roman"/>
          <w:sz w:val="24"/>
          <w:szCs w:val="24"/>
        </w:rPr>
        <w:t>girls are more likely to be enrolled than poor girls an</w:t>
      </w:r>
      <w:r w:rsidR="0097260F">
        <w:rPr>
          <w:rFonts w:ascii="Times New Roman" w:hAnsi="Times New Roman"/>
          <w:sz w:val="24"/>
          <w:szCs w:val="24"/>
        </w:rPr>
        <w:t xml:space="preserve">d high- and middle-income boys (UNESCO, 2015). </w:t>
      </w:r>
      <w:r w:rsidRPr="00264F3F">
        <w:rPr>
          <w:rFonts w:ascii="Times New Roman" w:hAnsi="Times New Roman"/>
          <w:sz w:val="24"/>
          <w:szCs w:val="24"/>
        </w:rPr>
        <w:t xml:space="preserve">Poor countries in the Commonwealth have lower and upper secondary completion rates of only 26 per cent and 14 per cent, and </w:t>
      </w:r>
      <w:r w:rsidR="0021526A">
        <w:rPr>
          <w:rFonts w:ascii="Times New Roman" w:hAnsi="Times New Roman"/>
          <w:sz w:val="24"/>
          <w:szCs w:val="24"/>
        </w:rPr>
        <w:t>LMICs</w:t>
      </w:r>
      <w:r w:rsidRPr="00264F3F">
        <w:rPr>
          <w:rFonts w:ascii="Times New Roman" w:hAnsi="Times New Roman"/>
          <w:sz w:val="24"/>
          <w:szCs w:val="24"/>
        </w:rPr>
        <w:t xml:space="preserve"> of only 52 per cent and 30 per cent, respectively. </w:t>
      </w:r>
    </w:p>
    <w:p w14:paraId="5C88EA25" w14:textId="77777777" w:rsidR="0097260F" w:rsidRPr="00264F3F" w:rsidRDefault="0097260F" w:rsidP="00264F3F">
      <w:pPr>
        <w:jc w:val="both"/>
        <w:rPr>
          <w:rFonts w:ascii="Times New Roman" w:hAnsi="Times New Roman"/>
          <w:sz w:val="24"/>
          <w:szCs w:val="24"/>
        </w:rPr>
      </w:pPr>
    </w:p>
    <w:p w14:paraId="6639C9FF" w14:textId="0B8B803C" w:rsidR="00581431" w:rsidRDefault="0097260F" w:rsidP="00264F3F">
      <w:pPr>
        <w:jc w:val="both"/>
        <w:rPr>
          <w:rFonts w:ascii="Times New Roman" w:hAnsi="Times New Roman"/>
          <w:sz w:val="24"/>
          <w:szCs w:val="24"/>
        </w:rPr>
      </w:pPr>
      <w:r>
        <w:rPr>
          <w:rFonts w:ascii="Times New Roman" w:hAnsi="Times New Roman"/>
          <w:sz w:val="24"/>
          <w:szCs w:val="24"/>
        </w:rPr>
        <w:t xml:space="preserve">The UNESCO Institute of Statistics </w:t>
      </w:r>
      <w:r w:rsidR="00581431" w:rsidRPr="00264F3F">
        <w:rPr>
          <w:rFonts w:ascii="Times New Roman" w:hAnsi="Times New Roman"/>
          <w:sz w:val="24"/>
          <w:szCs w:val="24"/>
        </w:rPr>
        <w:t xml:space="preserve">data indicate that about 13 million Commonwealth children of primary education age, and 22 million of secondary age, are out of school. If this is true, this represents about 10 per cent of all Commonwealth children below the age of 15 years. </w:t>
      </w:r>
      <w:r w:rsidR="000B1514">
        <w:rPr>
          <w:rFonts w:ascii="Times New Roman" w:hAnsi="Times New Roman"/>
          <w:sz w:val="24"/>
          <w:szCs w:val="24"/>
        </w:rPr>
        <w:t xml:space="preserve">Most are in South Asia. </w:t>
      </w:r>
      <w:r w:rsidR="00581431" w:rsidRPr="00264F3F">
        <w:rPr>
          <w:rFonts w:ascii="Times New Roman" w:hAnsi="Times New Roman"/>
          <w:sz w:val="24"/>
          <w:szCs w:val="24"/>
        </w:rPr>
        <w:t xml:space="preserve">If those in school and not learning are included, the numbers will be much larger. </w:t>
      </w:r>
    </w:p>
    <w:p w14:paraId="0387DD38" w14:textId="77777777" w:rsidR="0097260F" w:rsidRDefault="0097260F" w:rsidP="0097260F">
      <w:pPr>
        <w:jc w:val="both"/>
        <w:rPr>
          <w:rFonts w:asciiTheme="majorHAnsi" w:eastAsiaTheme="majorEastAsia" w:hAnsiTheme="majorHAnsi" w:cstheme="majorBidi"/>
          <w:b/>
          <w:bCs/>
          <w:color w:val="4F81BD" w:themeColor="accent1"/>
          <w:sz w:val="21"/>
          <w:szCs w:val="21"/>
        </w:rPr>
      </w:pPr>
    </w:p>
    <w:p w14:paraId="133C2D62" w14:textId="77777777" w:rsidR="00070E6D" w:rsidRDefault="0097260F" w:rsidP="0097260F">
      <w:pPr>
        <w:jc w:val="both"/>
        <w:rPr>
          <w:rFonts w:ascii="Times New Roman" w:hAnsi="Times New Roman"/>
          <w:sz w:val="24"/>
          <w:szCs w:val="24"/>
        </w:rPr>
      </w:pPr>
      <w:r w:rsidRPr="00264F3F">
        <w:rPr>
          <w:rFonts w:ascii="Times New Roman" w:hAnsi="Times New Roman"/>
          <w:sz w:val="24"/>
          <w:szCs w:val="24"/>
        </w:rPr>
        <w:t>About 45 million students are registered in t</w:t>
      </w:r>
      <w:r>
        <w:rPr>
          <w:rFonts w:ascii="Times New Roman" w:hAnsi="Times New Roman"/>
          <w:sz w:val="24"/>
          <w:szCs w:val="24"/>
        </w:rPr>
        <w:t>ertiary institutions in the Commonwe</w:t>
      </w:r>
      <w:r w:rsidR="005564C9">
        <w:rPr>
          <w:rFonts w:ascii="Times New Roman" w:hAnsi="Times New Roman"/>
          <w:sz w:val="24"/>
          <w:szCs w:val="24"/>
        </w:rPr>
        <w:t xml:space="preserve">alth and </w:t>
      </w:r>
      <w:r>
        <w:rPr>
          <w:rFonts w:ascii="Times New Roman" w:hAnsi="Times New Roman"/>
          <w:sz w:val="24"/>
          <w:szCs w:val="24"/>
        </w:rPr>
        <w:t>p</w:t>
      </w:r>
      <w:r w:rsidRPr="00264F3F">
        <w:rPr>
          <w:rFonts w:ascii="Times New Roman" w:hAnsi="Times New Roman"/>
          <w:sz w:val="24"/>
          <w:szCs w:val="24"/>
        </w:rPr>
        <w:t>articipation rates are growing faste</w:t>
      </w:r>
      <w:r>
        <w:rPr>
          <w:rFonts w:ascii="Times New Roman" w:hAnsi="Times New Roman"/>
          <w:sz w:val="24"/>
          <w:szCs w:val="24"/>
        </w:rPr>
        <w:t>r than at other levels</w:t>
      </w:r>
      <w:r w:rsidRPr="00264F3F">
        <w:rPr>
          <w:rFonts w:ascii="Times New Roman" w:hAnsi="Times New Roman"/>
          <w:sz w:val="24"/>
          <w:szCs w:val="24"/>
        </w:rPr>
        <w:t xml:space="preserve">. </w:t>
      </w:r>
      <w:r>
        <w:rPr>
          <w:rFonts w:ascii="Times New Roman" w:hAnsi="Times New Roman"/>
          <w:sz w:val="24"/>
          <w:szCs w:val="24"/>
        </w:rPr>
        <w:t>LICs</w:t>
      </w:r>
      <w:r w:rsidR="005564C9">
        <w:rPr>
          <w:rFonts w:ascii="Times New Roman" w:hAnsi="Times New Roman"/>
          <w:sz w:val="24"/>
          <w:szCs w:val="24"/>
        </w:rPr>
        <w:t xml:space="preserve"> have a </w:t>
      </w:r>
      <w:r w:rsidRPr="00264F3F">
        <w:rPr>
          <w:rFonts w:ascii="Times New Roman" w:hAnsi="Times New Roman"/>
          <w:sz w:val="24"/>
          <w:szCs w:val="24"/>
        </w:rPr>
        <w:t xml:space="preserve">GER of about 6 per cent and </w:t>
      </w:r>
      <w:r>
        <w:rPr>
          <w:rFonts w:ascii="Times New Roman" w:hAnsi="Times New Roman"/>
          <w:sz w:val="24"/>
          <w:szCs w:val="24"/>
        </w:rPr>
        <w:t>LMICs</w:t>
      </w:r>
      <w:r w:rsidR="005564C9">
        <w:rPr>
          <w:rFonts w:ascii="Times New Roman" w:hAnsi="Times New Roman"/>
          <w:sz w:val="24"/>
          <w:szCs w:val="24"/>
        </w:rPr>
        <w:t xml:space="preserve"> a</w:t>
      </w:r>
      <w:r w:rsidRPr="00264F3F">
        <w:rPr>
          <w:rFonts w:ascii="Times New Roman" w:hAnsi="Times New Roman"/>
          <w:sz w:val="24"/>
          <w:szCs w:val="24"/>
        </w:rPr>
        <w:t xml:space="preserve"> GER of 15 per cent</w:t>
      </w:r>
      <w:r w:rsidR="005564C9">
        <w:rPr>
          <w:rFonts w:ascii="Times New Roman" w:hAnsi="Times New Roman"/>
          <w:sz w:val="24"/>
          <w:szCs w:val="24"/>
        </w:rPr>
        <w:t xml:space="preserve"> at tertiary level</w:t>
      </w:r>
      <w:r w:rsidRPr="00264F3F">
        <w:rPr>
          <w:rFonts w:ascii="Times New Roman" w:hAnsi="Times New Roman"/>
          <w:sz w:val="24"/>
          <w:szCs w:val="24"/>
        </w:rPr>
        <w:t xml:space="preserve">. About a third of young people in </w:t>
      </w:r>
      <w:r>
        <w:rPr>
          <w:rFonts w:ascii="Times New Roman" w:hAnsi="Times New Roman"/>
          <w:sz w:val="24"/>
          <w:szCs w:val="24"/>
        </w:rPr>
        <w:t>UMICs and nearly 60 per cent in HICs</w:t>
      </w:r>
      <w:r w:rsidRPr="00264F3F">
        <w:rPr>
          <w:rFonts w:ascii="Times New Roman" w:hAnsi="Times New Roman"/>
          <w:sz w:val="24"/>
          <w:szCs w:val="24"/>
        </w:rPr>
        <w:t xml:space="preserve"> now access tertiary programmes. In all Commonwealth countries except the poorest, more girls than boys are now enrolled at tertiary level.</w:t>
      </w:r>
      <w:r w:rsidR="00B2740C">
        <w:rPr>
          <w:rFonts w:ascii="Times New Roman" w:hAnsi="Times New Roman"/>
          <w:sz w:val="24"/>
          <w:szCs w:val="24"/>
        </w:rPr>
        <w:t xml:space="preserve"> In LMICs, UMICs and HICs there are as many as 40% more girls than boys enrolled according to UIS data.</w:t>
      </w:r>
    </w:p>
    <w:p w14:paraId="28578CD6" w14:textId="77777777" w:rsidR="00070E6D" w:rsidRDefault="00070E6D" w:rsidP="00070E6D">
      <w:pPr>
        <w:jc w:val="both"/>
        <w:rPr>
          <w:rFonts w:ascii="Times New Roman" w:hAnsi="Times New Roman"/>
          <w:sz w:val="24"/>
          <w:szCs w:val="24"/>
        </w:rPr>
      </w:pPr>
    </w:p>
    <w:p w14:paraId="41C2A530" w14:textId="772ED8C7" w:rsidR="00070E6D" w:rsidRDefault="00070E6D" w:rsidP="00070E6D">
      <w:pPr>
        <w:jc w:val="both"/>
        <w:rPr>
          <w:rFonts w:ascii="Times New Roman" w:hAnsi="Times New Roman"/>
          <w:sz w:val="24"/>
          <w:szCs w:val="24"/>
        </w:rPr>
      </w:pPr>
      <w:r>
        <w:rPr>
          <w:rFonts w:ascii="Times New Roman" w:hAnsi="Times New Roman"/>
          <w:sz w:val="24"/>
          <w:szCs w:val="24"/>
        </w:rPr>
        <w:t xml:space="preserve">Educational financing </w:t>
      </w:r>
      <w:r w:rsidRPr="00264F3F">
        <w:rPr>
          <w:rFonts w:ascii="Times New Roman" w:hAnsi="Times New Roman"/>
          <w:sz w:val="24"/>
          <w:szCs w:val="24"/>
        </w:rPr>
        <w:t>is taking new forms across the Commonwealth</w:t>
      </w:r>
      <w:r>
        <w:rPr>
          <w:rFonts w:ascii="Times New Roman" w:hAnsi="Times New Roman"/>
          <w:sz w:val="24"/>
          <w:szCs w:val="24"/>
        </w:rPr>
        <w:t xml:space="preserve"> and the </w:t>
      </w:r>
      <w:r w:rsidRPr="00264F3F">
        <w:rPr>
          <w:rFonts w:ascii="Times New Roman" w:hAnsi="Times New Roman"/>
          <w:sz w:val="24"/>
          <w:szCs w:val="24"/>
        </w:rPr>
        <w:t>appetite for aid to education is softening; new donors have new priorities and self-interests; and aid dependence stubbornly persists in some of the poorest countries bring into question the efficacy of some types of aid</w:t>
      </w:r>
      <w:r>
        <w:rPr>
          <w:rFonts w:ascii="Times New Roman" w:hAnsi="Times New Roman"/>
          <w:sz w:val="24"/>
          <w:szCs w:val="24"/>
        </w:rPr>
        <w:t xml:space="preserve"> (Burnett 2012, Easterly 2013, UNESCO 2016, Lewin 2017)</w:t>
      </w:r>
      <w:r w:rsidRPr="00264F3F">
        <w:rPr>
          <w:rFonts w:ascii="Times New Roman" w:hAnsi="Times New Roman"/>
          <w:sz w:val="24"/>
          <w:szCs w:val="24"/>
        </w:rPr>
        <w:t xml:space="preserve">. The basic dilemma of public education financing of recurrent costs of education systems </w:t>
      </w:r>
      <w:r>
        <w:rPr>
          <w:rFonts w:ascii="Times New Roman" w:hAnsi="Times New Roman"/>
          <w:sz w:val="24"/>
          <w:szCs w:val="24"/>
        </w:rPr>
        <w:t xml:space="preserve">is evident. LICs and LMICs allocate about 16% of public budgets to education and collect about 17% of GDP in tax. On average they spend about 4% of GDP on education but would need to spend </w:t>
      </w:r>
      <w:r w:rsidR="009158B6">
        <w:rPr>
          <w:rFonts w:ascii="Times New Roman" w:hAnsi="Times New Roman"/>
          <w:sz w:val="24"/>
          <w:szCs w:val="24"/>
        </w:rPr>
        <w:t>more than 6% to achieve the SDG</w:t>
      </w:r>
      <w:r>
        <w:rPr>
          <w:rFonts w:ascii="Times New Roman" w:hAnsi="Times New Roman"/>
          <w:sz w:val="24"/>
          <w:szCs w:val="24"/>
        </w:rPr>
        <w:t xml:space="preserve"> targets</w:t>
      </w:r>
      <w:r w:rsidRPr="00264F3F">
        <w:rPr>
          <w:rFonts w:ascii="Times New Roman" w:hAnsi="Times New Roman"/>
          <w:sz w:val="24"/>
          <w:szCs w:val="24"/>
        </w:rPr>
        <w:t xml:space="preserve"> (Lewin, 2017). This requires a substantial increase in domestic revenue, and an increase in the proportion of this allocated to the education budget. In order to allocate 6 per cent of GDP to education, domestic revenue would need to be about 24 per cent of GDP and educational expenditure would have to be 25 per cent of total government spending</w:t>
      </w:r>
      <w:r>
        <w:rPr>
          <w:rFonts w:ascii="Times New Roman" w:hAnsi="Times New Roman"/>
          <w:sz w:val="24"/>
          <w:szCs w:val="24"/>
        </w:rPr>
        <w:t xml:space="preserve"> (25% of 24% = 6%)</w:t>
      </w:r>
      <w:r w:rsidRPr="00264F3F">
        <w:rPr>
          <w:rFonts w:ascii="Times New Roman" w:hAnsi="Times New Roman"/>
          <w:sz w:val="24"/>
          <w:szCs w:val="24"/>
        </w:rPr>
        <w:t xml:space="preserve">. This is well above current levels. </w:t>
      </w:r>
    </w:p>
    <w:p w14:paraId="6133BAF5" w14:textId="63480C29" w:rsidR="00B2740C" w:rsidRPr="00070E6D" w:rsidRDefault="0097260F" w:rsidP="00264F3F">
      <w:pPr>
        <w:jc w:val="both"/>
        <w:rPr>
          <w:rFonts w:ascii="Times New Roman" w:hAnsi="Times New Roman"/>
          <w:sz w:val="24"/>
          <w:szCs w:val="24"/>
        </w:rPr>
      </w:pPr>
      <w:r w:rsidRPr="00264F3F">
        <w:rPr>
          <w:rFonts w:ascii="Times New Roman" w:hAnsi="Times New Roman"/>
          <w:sz w:val="24"/>
          <w:szCs w:val="24"/>
        </w:rPr>
        <w:t xml:space="preserve">  </w:t>
      </w:r>
    </w:p>
    <w:p w14:paraId="0A3217EC" w14:textId="1B23945F" w:rsidR="00501314" w:rsidRDefault="00501314" w:rsidP="006608CB">
      <w:pPr>
        <w:pStyle w:val="Heading2"/>
      </w:pPr>
      <w:bookmarkStart w:id="4" w:name="_Toc421181403"/>
      <w:r w:rsidRPr="004E0619">
        <w:t>The Commonwealth Post 2015 Framework</w:t>
      </w:r>
      <w:bookmarkEnd w:id="4"/>
      <w:r w:rsidRPr="004E0619">
        <w:t xml:space="preserve"> </w:t>
      </w:r>
    </w:p>
    <w:p w14:paraId="68165974" w14:textId="77777777" w:rsidR="006608CB" w:rsidRPr="006608CB" w:rsidRDefault="006608CB" w:rsidP="006608CB"/>
    <w:p w14:paraId="5F91C7EA" w14:textId="5C757228" w:rsidR="00581431" w:rsidRDefault="00581431" w:rsidP="00264F3F">
      <w:pPr>
        <w:jc w:val="both"/>
        <w:rPr>
          <w:rFonts w:ascii="Times New Roman" w:hAnsi="Times New Roman"/>
          <w:sz w:val="24"/>
          <w:szCs w:val="24"/>
        </w:rPr>
      </w:pPr>
      <w:r w:rsidRPr="00264F3F">
        <w:rPr>
          <w:rFonts w:ascii="Times New Roman" w:hAnsi="Times New Roman"/>
          <w:sz w:val="24"/>
          <w:szCs w:val="24"/>
        </w:rPr>
        <w:t>In 2012 the Commonwealth Ministers established a Ministerial Working Group on the Post 20</w:t>
      </w:r>
      <w:r w:rsidR="008A6F8D">
        <w:rPr>
          <w:rFonts w:ascii="Times New Roman" w:hAnsi="Times New Roman"/>
          <w:sz w:val="24"/>
          <w:szCs w:val="24"/>
        </w:rPr>
        <w:t>15 Development Framework which the author</w:t>
      </w:r>
      <w:r w:rsidRPr="00264F3F">
        <w:rPr>
          <w:rFonts w:ascii="Times New Roman" w:hAnsi="Times New Roman"/>
          <w:sz w:val="24"/>
          <w:szCs w:val="24"/>
        </w:rPr>
        <w:t xml:space="preserve"> had the privilege of advising. This met several times</w:t>
      </w:r>
      <w:r w:rsidR="000A08AA">
        <w:rPr>
          <w:rFonts w:ascii="Times New Roman" w:hAnsi="Times New Roman"/>
          <w:sz w:val="24"/>
          <w:szCs w:val="24"/>
        </w:rPr>
        <w:t xml:space="preserve"> in 2012 and 2013 </w:t>
      </w:r>
      <w:r w:rsidRPr="00264F3F">
        <w:rPr>
          <w:rFonts w:ascii="Times New Roman" w:hAnsi="Times New Roman"/>
          <w:sz w:val="24"/>
          <w:szCs w:val="24"/>
        </w:rPr>
        <w:t>and produced</w:t>
      </w:r>
      <w:r w:rsidR="006608CB">
        <w:rPr>
          <w:rFonts w:ascii="Times New Roman" w:hAnsi="Times New Roman"/>
          <w:sz w:val="24"/>
          <w:szCs w:val="24"/>
        </w:rPr>
        <w:t xml:space="preserve"> a position paper</w:t>
      </w:r>
      <w:r w:rsidRPr="00264F3F">
        <w:rPr>
          <w:rFonts w:ascii="Times New Roman" w:hAnsi="Times New Roman"/>
          <w:sz w:val="24"/>
          <w:szCs w:val="24"/>
        </w:rPr>
        <w:t xml:space="preserve"> </w:t>
      </w:r>
      <w:r w:rsidR="000A08AA">
        <w:rPr>
          <w:rFonts w:ascii="Times New Roman" w:hAnsi="Times New Roman"/>
          <w:sz w:val="24"/>
          <w:szCs w:val="24"/>
        </w:rPr>
        <w:t xml:space="preserve">on </w:t>
      </w:r>
      <w:r w:rsidRPr="00264F3F">
        <w:rPr>
          <w:rFonts w:ascii="Times New Roman" w:hAnsi="Times New Roman"/>
          <w:sz w:val="24"/>
          <w:szCs w:val="24"/>
        </w:rPr>
        <w:t xml:space="preserve"> “Commonwealth Recommendations for the Post-2015 Development Framework for Education”</w:t>
      </w:r>
      <w:r w:rsidR="000A08AA">
        <w:rPr>
          <w:rFonts w:ascii="Times New Roman" w:hAnsi="Times New Roman"/>
          <w:sz w:val="24"/>
          <w:szCs w:val="24"/>
        </w:rPr>
        <w:t xml:space="preserve"> (Commonwealth Secretariat 2012a).</w:t>
      </w:r>
      <w:r w:rsidRPr="00264F3F">
        <w:rPr>
          <w:rFonts w:ascii="Times New Roman" w:hAnsi="Times New Roman"/>
          <w:sz w:val="24"/>
          <w:szCs w:val="24"/>
        </w:rPr>
        <w:t xml:space="preserve"> The</w:t>
      </w:r>
      <w:r w:rsidR="000A08AA">
        <w:rPr>
          <w:rFonts w:ascii="Times New Roman" w:hAnsi="Times New Roman"/>
          <w:sz w:val="24"/>
          <w:szCs w:val="24"/>
        </w:rPr>
        <w:t xml:space="preserve"> framework is </w:t>
      </w:r>
      <w:r w:rsidR="00A0075F">
        <w:rPr>
          <w:rFonts w:ascii="Times New Roman" w:hAnsi="Times New Roman"/>
          <w:sz w:val="24"/>
          <w:szCs w:val="24"/>
        </w:rPr>
        <w:t>reproduced below</w:t>
      </w:r>
      <w:r w:rsidRPr="00264F3F">
        <w:rPr>
          <w:rFonts w:ascii="Times New Roman" w:hAnsi="Times New Roman"/>
          <w:sz w:val="24"/>
          <w:szCs w:val="24"/>
        </w:rPr>
        <w:t xml:space="preserve">. The recommendations were widely circulated around multilateral partner organisations (e.g. UNESCO, UNICEF, UNDP) and bi-lateral donors for education (e.g. DFID, CIDA and </w:t>
      </w:r>
      <w:proofErr w:type="spellStart"/>
      <w:r w:rsidRPr="00264F3F">
        <w:rPr>
          <w:rFonts w:ascii="Times New Roman" w:hAnsi="Times New Roman"/>
          <w:sz w:val="24"/>
          <w:szCs w:val="24"/>
        </w:rPr>
        <w:t>AusAid</w:t>
      </w:r>
      <w:proofErr w:type="spellEnd"/>
      <w:r w:rsidRPr="00264F3F">
        <w:rPr>
          <w:rFonts w:ascii="Times New Roman" w:hAnsi="Times New Roman"/>
          <w:sz w:val="24"/>
          <w:szCs w:val="24"/>
        </w:rPr>
        <w:t>)</w:t>
      </w:r>
      <w:r w:rsidR="000A08AA">
        <w:rPr>
          <w:rFonts w:ascii="Times New Roman" w:hAnsi="Times New Roman"/>
          <w:sz w:val="24"/>
          <w:szCs w:val="24"/>
        </w:rPr>
        <w:t xml:space="preserve"> on the basis of an advocacy plan (</w:t>
      </w:r>
      <w:r w:rsidR="00DF28C9">
        <w:rPr>
          <w:rFonts w:ascii="Times New Roman" w:hAnsi="Times New Roman"/>
          <w:sz w:val="24"/>
          <w:szCs w:val="24"/>
        </w:rPr>
        <w:t>Commonwealth Secretariat, 2013).</w:t>
      </w:r>
      <w:r w:rsidRPr="00264F3F">
        <w:rPr>
          <w:rFonts w:ascii="Times New Roman" w:hAnsi="Times New Roman"/>
          <w:sz w:val="24"/>
          <w:szCs w:val="24"/>
        </w:rPr>
        <w:t xml:space="preserve">  </w:t>
      </w:r>
    </w:p>
    <w:p w14:paraId="1879F263" w14:textId="77777777" w:rsidR="00D55142" w:rsidRDefault="00D55142" w:rsidP="00D55142">
      <w:pPr>
        <w:jc w:val="both"/>
        <w:rPr>
          <w:rFonts w:ascii="Times New Roman" w:hAnsi="Times New Roman"/>
          <w:sz w:val="24"/>
          <w:szCs w:val="24"/>
        </w:rPr>
      </w:pPr>
    </w:p>
    <w:p w14:paraId="1A0D750C" w14:textId="76637BDB" w:rsidR="00A0075F" w:rsidRDefault="00D55142" w:rsidP="00264F3F">
      <w:pPr>
        <w:jc w:val="both"/>
        <w:rPr>
          <w:rFonts w:ascii="Times New Roman" w:hAnsi="Times New Roman"/>
          <w:sz w:val="24"/>
          <w:szCs w:val="24"/>
        </w:rPr>
      </w:pPr>
      <w:r w:rsidRPr="00D55142">
        <w:rPr>
          <w:rFonts w:ascii="Times New Roman" w:hAnsi="Times New Roman"/>
          <w:sz w:val="24"/>
          <w:szCs w:val="24"/>
        </w:rPr>
        <w:t xml:space="preserve">The Chair of the Ministerial Working Group was Mr RP </w:t>
      </w:r>
      <w:proofErr w:type="spellStart"/>
      <w:r w:rsidRPr="00D55142">
        <w:rPr>
          <w:rFonts w:ascii="Times New Roman" w:hAnsi="Times New Roman"/>
          <w:sz w:val="24"/>
          <w:szCs w:val="24"/>
        </w:rPr>
        <w:t>Ramlugun</w:t>
      </w:r>
      <w:proofErr w:type="spellEnd"/>
      <w:r w:rsidRPr="00D55142">
        <w:rPr>
          <w:rFonts w:ascii="Times New Roman" w:hAnsi="Times New Roman"/>
          <w:sz w:val="24"/>
          <w:szCs w:val="24"/>
        </w:rPr>
        <w:t>, Acting Senior Chief Executive, Ministry of Education and Human Resources, Mauritius. Participants included</w:t>
      </w:r>
      <w:r>
        <w:rPr>
          <w:rFonts w:ascii="Times New Roman" w:hAnsi="Times New Roman"/>
          <w:sz w:val="24"/>
          <w:szCs w:val="24"/>
        </w:rPr>
        <w:t xml:space="preserve"> </w:t>
      </w:r>
      <w:proofErr w:type="gramStart"/>
      <w:r>
        <w:rPr>
          <w:rFonts w:ascii="Times New Roman" w:hAnsi="Times New Roman"/>
          <w:sz w:val="24"/>
          <w:szCs w:val="24"/>
        </w:rPr>
        <w:t>high level</w:t>
      </w:r>
      <w:proofErr w:type="gramEnd"/>
      <w:r w:rsidRPr="00D55142">
        <w:rPr>
          <w:rFonts w:ascii="Times New Roman" w:hAnsi="Times New Roman"/>
          <w:sz w:val="24"/>
          <w:szCs w:val="24"/>
        </w:rPr>
        <w:t xml:space="preserve"> representatives from Bangladesh, Barbados, Brunei Darussalam, Jamaica, Kenya, Mauritius, Nigeria, Seychelles, Sierra Leone and </w:t>
      </w:r>
      <w:r>
        <w:rPr>
          <w:rFonts w:ascii="Times New Roman" w:hAnsi="Times New Roman"/>
          <w:sz w:val="24"/>
          <w:szCs w:val="24"/>
        </w:rPr>
        <w:t xml:space="preserve">Uganda. </w:t>
      </w:r>
      <w:r w:rsidR="00C01019">
        <w:rPr>
          <w:rFonts w:ascii="Times New Roman" w:hAnsi="Times New Roman"/>
          <w:sz w:val="24"/>
          <w:szCs w:val="24"/>
        </w:rPr>
        <w:t>Other</w:t>
      </w:r>
      <w:r>
        <w:rPr>
          <w:rFonts w:ascii="Times New Roman" w:hAnsi="Times New Roman"/>
          <w:sz w:val="24"/>
          <w:szCs w:val="24"/>
        </w:rPr>
        <w:t xml:space="preserve"> stakeholders and</w:t>
      </w:r>
      <w:r w:rsidRPr="00D55142">
        <w:rPr>
          <w:rFonts w:ascii="Times New Roman" w:hAnsi="Times New Roman"/>
          <w:sz w:val="24"/>
          <w:szCs w:val="24"/>
        </w:rPr>
        <w:t xml:space="preserve"> Commonwealth associations</w:t>
      </w:r>
      <w:r w:rsidR="00115517" w:rsidRPr="00115517">
        <w:rPr>
          <w:rFonts w:ascii="Times New Roman" w:hAnsi="Times New Roman"/>
          <w:sz w:val="24"/>
          <w:szCs w:val="24"/>
        </w:rPr>
        <w:t xml:space="preserve"> took part in deliberations including representatives from the Brookings Institution, Centre for International Education (University of Sussex, UK), Commonwealth Consortium for Education, Commonwealth Foundation, Commonwealth Secretariat Youth Affairs Division, Council for Education in the Commonwealth, Education International, Open Society Foundations, United Natio</w:t>
      </w:r>
      <w:r w:rsidR="00C01019">
        <w:rPr>
          <w:rFonts w:ascii="Times New Roman" w:hAnsi="Times New Roman"/>
          <w:sz w:val="24"/>
          <w:szCs w:val="24"/>
        </w:rPr>
        <w:t xml:space="preserve">ns Children’s Fund (UNICEF), </w:t>
      </w:r>
      <w:r w:rsidR="00115517" w:rsidRPr="00115517">
        <w:rPr>
          <w:rFonts w:ascii="Times New Roman" w:hAnsi="Times New Roman"/>
          <w:sz w:val="24"/>
          <w:szCs w:val="24"/>
        </w:rPr>
        <w:t>the United Nations (UN) Special Rapporteur on the Right to Education</w:t>
      </w:r>
      <w:r w:rsidR="00115517">
        <w:rPr>
          <w:rFonts w:ascii="Times New Roman" w:hAnsi="Times New Roman"/>
          <w:sz w:val="24"/>
          <w:szCs w:val="24"/>
        </w:rPr>
        <w:t>,</w:t>
      </w:r>
      <w:r w:rsidR="00115517" w:rsidRPr="00115517">
        <w:rPr>
          <w:rFonts w:ascii="Times New Roman" w:hAnsi="Times New Roman"/>
          <w:sz w:val="24"/>
          <w:szCs w:val="24"/>
        </w:rPr>
        <w:t xml:space="preserve"> </w:t>
      </w:r>
      <w:r w:rsidR="00C01019">
        <w:rPr>
          <w:rFonts w:ascii="Times New Roman" w:hAnsi="Times New Roman"/>
          <w:sz w:val="24"/>
          <w:szCs w:val="24"/>
        </w:rPr>
        <w:t xml:space="preserve">the </w:t>
      </w:r>
      <w:r w:rsidR="00115517" w:rsidRPr="00115517">
        <w:rPr>
          <w:rFonts w:ascii="Times New Roman" w:hAnsi="Times New Roman"/>
          <w:sz w:val="24"/>
          <w:szCs w:val="24"/>
        </w:rPr>
        <w:t xml:space="preserve">Global Campaign for Education (GCE) and </w:t>
      </w:r>
      <w:r w:rsidR="00115517">
        <w:rPr>
          <w:rFonts w:ascii="Times New Roman" w:hAnsi="Times New Roman"/>
          <w:sz w:val="24"/>
          <w:szCs w:val="24"/>
        </w:rPr>
        <w:t>UNESCO).</w:t>
      </w:r>
      <w:r w:rsidR="00115517" w:rsidRPr="00115517">
        <w:rPr>
          <w:rFonts w:ascii="Times New Roman" w:hAnsi="Times New Roman"/>
          <w:sz w:val="24"/>
          <w:szCs w:val="24"/>
        </w:rPr>
        <w:t xml:space="preserve"> </w:t>
      </w:r>
    </w:p>
    <w:p w14:paraId="795581FD" w14:textId="77777777" w:rsidR="00AF47C4" w:rsidRDefault="00AF47C4" w:rsidP="00264F3F">
      <w:pPr>
        <w:jc w:val="both"/>
        <w:rPr>
          <w:rFonts w:ascii="Times New Roman" w:hAnsi="Times New Roman"/>
          <w:sz w:val="24"/>
          <w:szCs w:val="24"/>
        </w:rPr>
        <w:sectPr w:rsidR="00AF47C4" w:rsidSect="00362C31">
          <w:pgSz w:w="11900" w:h="16820"/>
          <w:pgMar w:top="1474" w:right="1268" w:bottom="851" w:left="1474" w:header="709" w:footer="709" w:gutter="0"/>
          <w:cols w:space="708"/>
          <w:titlePg/>
          <w:docGrid w:linePitch="360"/>
        </w:sectPr>
      </w:pPr>
    </w:p>
    <w:p w14:paraId="0409687E" w14:textId="6F4A326B" w:rsidR="00A0075F" w:rsidRPr="005C7737" w:rsidRDefault="00A0075F" w:rsidP="00A0075F">
      <w:pPr>
        <w:pStyle w:val="Heading2"/>
      </w:pPr>
      <w:bookmarkStart w:id="5" w:name="_Toc421181408"/>
      <w:r>
        <w:t xml:space="preserve"> The Commonwealth Framework</w:t>
      </w:r>
      <w:bookmarkEnd w:id="5"/>
      <w:r>
        <w:t xml:space="preserve"> for Education</w:t>
      </w:r>
    </w:p>
    <w:p w14:paraId="77FA6B55" w14:textId="77777777" w:rsidR="00A0075F" w:rsidRPr="00264F3F" w:rsidRDefault="00A0075F" w:rsidP="00A0075F">
      <w:pPr>
        <w:jc w:val="both"/>
        <w:rPr>
          <w:rFonts w:ascii="Times New Roman" w:hAnsi="Times New Roman"/>
          <w:sz w:val="24"/>
          <w:szCs w:val="24"/>
        </w:rPr>
      </w:pPr>
    </w:p>
    <w:p w14:paraId="5CF4999B" w14:textId="77777777" w:rsidR="00A0075F" w:rsidRPr="00264F3F" w:rsidRDefault="00A0075F" w:rsidP="00A0075F">
      <w:pPr>
        <w:jc w:val="both"/>
        <w:rPr>
          <w:rFonts w:ascii="Times New Roman" w:hAnsi="Times New Roman"/>
          <w:sz w:val="24"/>
          <w:szCs w:val="24"/>
        </w:rPr>
      </w:pPr>
    </w:p>
    <w:p w14:paraId="2EB5C7B8" w14:textId="77777777" w:rsidR="00A0075F" w:rsidRPr="00264F3F" w:rsidRDefault="00A0075F" w:rsidP="00A0075F">
      <w:pPr>
        <w:jc w:val="both"/>
        <w:rPr>
          <w:rFonts w:ascii="Times New Roman" w:hAnsi="Times New Roman"/>
          <w:sz w:val="24"/>
          <w:szCs w:val="24"/>
        </w:rPr>
      </w:pPr>
      <w:r w:rsidRPr="00264F3F">
        <w:rPr>
          <w:rFonts w:ascii="Times New Roman" w:hAnsi="Times New Roman"/>
          <w:noProof/>
          <w:sz w:val="24"/>
          <w:szCs w:val="24"/>
          <w:lang w:val="en-US"/>
        </w:rPr>
        <w:drawing>
          <wp:anchor distT="0" distB="0" distL="114300" distR="114300" simplePos="0" relativeHeight="251659264" behindDoc="0" locked="0" layoutInCell="1" allowOverlap="1" wp14:anchorId="47486697" wp14:editId="3F949296">
            <wp:simplePos x="0" y="0"/>
            <wp:positionH relativeFrom="column">
              <wp:posOffset>38101</wp:posOffset>
            </wp:positionH>
            <wp:positionV relativeFrom="paragraph">
              <wp:posOffset>-342900</wp:posOffset>
            </wp:positionV>
            <wp:extent cx="657226" cy="685800"/>
            <wp:effectExtent l="0" t="0" r="3175" b="0"/>
            <wp:wrapNone/>
            <wp:docPr id="4" name="Picture 10" descr="commonwealth logo 6 p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monwealth logo 6 pic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499" cy="686085"/>
                    </a:xfrm>
                    <a:prstGeom prst="rect">
                      <a:avLst/>
                    </a:prstGeom>
                    <a:noFill/>
                  </pic:spPr>
                </pic:pic>
              </a:graphicData>
            </a:graphic>
            <wp14:sizeRelH relativeFrom="page">
              <wp14:pctWidth>0</wp14:pctWidth>
            </wp14:sizeRelH>
            <wp14:sizeRelV relativeFrom="page">
              <wp14:pctHeight>0</wp14:pctHeight>
            </wp14:sizeRelV>
          </wp:anchor>
        </w:drawing>
      </w:r>
      <w:r w:rsidRPr="00264F3F">
        <w:rPr>
          <w:rFonts w:ascii="Times New Roman" w:hAnsi="Times New Roman"/>
          <w:sz w:val="24"/>
          <w:szCs w:val="24"/>
        </w:rPr>
        <w:tab/>
      </w:r>
      <w:r w:rsidRPr="00264F3F">
        <w:rPr>
          <w:rFonts w:ascii="Times New Roman" w:hAnsi="Times New Roman"/>
          <w:sz w:val="24"/>
          <w:szCs w:val="24"/>
        </w:rPr>
        <w:tab/>
        <w:t xml:space="preserve">Commonwealth Ministerial Working Group on the Post-2015 Development Framework for Education </w:t>
      </w:r>
    </w:p>
    <w:p w14:paraId="0EBBB3B7" w14:textId="77777777" w:rsidR="00A0075F" w:rsidRPr="00264F3F" w:rsidRDefault="00A0075F" w:rsidP="00A0075F">
      <w:pPr>
        <w:jc w:val="both"/>
        <w:rPr>
          <w:rFonts w:ascii="Times New Roman" w:hAnsi="Times New Roman"/>
          <w:sz w:val="24"/>
          <w:szCs w:val="24"/>
        </w:rPr>
      </w:pPr>
      <w:r w:rsidRPr="00264F3F">
        <w:rPr>
          <w:rFonts w:ascii="Times New Roman" w:hAnsi="Times New Roman"/>
          <w:sz w:val="24"/>
          <w:szCs w:val="24"/>
        </w:rPr>
        <w:tab/>
      </w:r>
      <w:r w:rsidRPr="00264F3F">
        <w:rPr>
          <w:rFonts w:ascii="Times New Roman" w:hAnsi="Times New Roman"/>
          <w:sz w:val="24"/>
          <w:szCs w:val="24"/>
        </w:rPr>
        <w:tab/>
        <w:t>Marlborough House, 12-13 December 2012</w:t>
      </w:r>
    </w:p>
    <w:p w14:paraId="51EA2D19" w14:textId="77777777" w:rsidR="00A0075F" w:rsidRPr="00264F3F" w:rsidRDefault="00A0075F" w:rsidP="00A0075F">
      <w:pPr>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2"/>
        <w:gridCol w:w="7061"/>
        <w:gridCol w:w="2902"/>
      </w:tblGrid>
      <w:tr w:rsidR="00A0075F" w:rsidRPr="005C7737" w14:paraId="26CFABFA" w14:textId="77777777" w:rsidTr="003C5527">
        <w:tc>
          <w:tcPr>
            <w:tcW w:w="3923" w:type="dxa"/>
            <w:tcBorders>
              <w:top w:val="single" w:sz="4" w:space="0" w:color="auto"/>
              <w:left w:val="single" w:sz="4" w:space="0" w:color="auto"/>
              <w:bottom w:val="single" w:sz="4" w:space="0" w:color="auto"/>
              <w:right w:val="single" w:sz="4" w:space="0" w:color="auto"/>
            </w:tcBorders>
            <w:shd w:val="clear" w:color="auto" w:fill="FBD4B4"/>
          </w:tcPr>
          <w:p w14:paraId="1FD10C13"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Principal goals</w:t>
            </w:r>
          </w:p>
        </w:tc>
        <w:tc>
          <w:tcPr>
            <w:tcW w:w="7667" w:type="dxa"/>
            <w:tcBorders>
              <w:top w:val="single" w:sz="4" w:space="0" w:color="auto"/>
              <w:left w:val="single" w:sz="4" w:space="0" w:color="auto"/>
              <w:bottom w:val="single" w:sz="4" w:space="0" w:color="auto"/>
              <w:right w:val="single" w:sz="4" w:space="0" w:color="auto"/>
            </w:tcBorders>
            <w:shd w:val="clear" w:color="auto" w:fill="FBD4B4"/>
          </w:tcPr>
          <w:p w14:paraId="31C8EF46"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Indicator</w:t>
            </w:r>
          </w:p>
        </w:tc>
        <w:tc>
          <w:tcPr>
            <w:tcW w:w="3139" w:type="dxa"/>
            <w:tcBorders>
              <w:top w:val="single" w:sz="4" w:space="0" w:color="auto"/>
              <w:left w:val="single" w:sz="4" w:space="0" w:color="auto"/>
              <w:bottom w:val="single" w:sz="4" w:space="0" w:color="auto"/>
              <w:right w:val="single" w:sz="4" w:space="0" w:color="auto"/>
            </w:tcBorders>
            <w:shd w:val="clear" w:color="auto" w:fill="FBD4B4"/>
          </w:tcPr>
          <w:p w14:paraId="04901704"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Target</w:t>
            </w:r>
          </w:p>
        </w:tc>
      </w:tr>
      <w:tr w:rsidR="00A0075F" w:rsidRPr="005C7737" w14:paraId="071A97EF" w14:textId="77777777" w:rsidTr="003C5527">
        <w:tc>
          <w:tcPr>
            <w:tcW w:w="3923" w:type="dxa"/>
            <w:tcBorders>
              <w:top w:val="single" w:sz="4" w:space="0" w:color="auto"/>
              <w:left w:val="single" w:sz="4" w:space="0" w:color="auto"/>
              <w:bottom w:val="single" w:sz="4" w:space="0" w:color="auto"/>
              <w:right w:val="single" w:sz="4" w:space="0" w:color="auto"/>
            </w:tcBorders>
            <w:shd w:val="clear" w:color="auto" w:fill="FDE9D9"/>
          </w:tcPr>
          <w:p w14:paraId="08056027"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1.</w:t>
            </w:r>
            <w:r w:rsidRPr="005C7737">
              <w:rPr>
                <w:rFonts w:ascii="Times New Roman" w:hAnsi="Times New Roman"/>
                <w:sz w:val="20"/>
                <w:szCs w:val="20"/>
              </w:rPr>
              <w:tab/>
              <w:t>Every child completes a full cycle of a minimum of 9 years of continuous, free basic education and demonstrates learning achievement consistent with national standards</w:t>
            </w:r>
          </w:p>
        </w:tc>
        <w:tc>
          <w:tcPr>
            <w:tcW w:w="7667" w:type="dxa"/>
            <w:tcBorders>
              <w:top w:val="single" w:sz="4" w:space="0" w:color="auto"/>
              <w:left w:val="single" w:sz="4" w:space="0" w:color="auto"/>
              <w:bottom w:val="single" w:sz="4" w:space="0" w:color="auto"/>
              <w:right w:val="single" w:sz="4" w:space="0" w:color="auto"/>
            </w:tcBorders>
            <w:shd w:val="clear" w:color="auto" w:fill="FDE9D9"/>
          </w:tcPr>
          <w:p w14:paraId="514672D6"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 </w:t>
            </w:r>
            <w:proofErr w:type="gramStart"/>
            <w:r w:rsidRPr="005C7737">
              <w:rPr>
                <w:rFonts w:ascii="Times New Roman" w:hAnsi="Times New Roman"/>
                <w:sz w:val="20"/>
                <w:szCs w:val="20"/>
              </w:rPr>
              <w:t>of</w:t>
            </w:r>
            <w:proofErr w:type="gramEnd"/>
            <w:r w:rsidRPr="005C7737">
              <w:rPr>
                <w:rFonts w:ascii="Times New Roman" w:hAnsi="Times New Roman"/>
                <w:sz w:val="20"/>
                <w:szCs w:val="20"/>
              </w:rPr>
              <w:t xml:space="preserve"> boys and girls who complete a minimum of 9 years of basic education, to the appropriate national and, where appropriate,  international, standard of completion, by the age of 15</w:t>
            </w:r>
          </w:p>
        </w:tc>
        <w:tc>
          <w:tcPr>
            <w:tcW w:w="3139" w:type="dxa"/>
            <w:tcBorders>
              <w:top w:val="single" w:sz="4" w:space="0" w:color="auto"/>
              <w:left w:val="single" w:sz="4" w:space="0" w:color="auto"/>
              <w:bottom w:val="single" w:sz="4" w:space="0" w:color="auto"/>
              <w:right w:val="single" w:sz="4" w:space="0" w:color="auto"/>
            </w:tcBorders>
            <w:shd w:val="clear" w:color="auto" w:fill="FDE9D9"/>
          </w:tcPr>
          <w:p w14:paraId="16B05E33"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100% of boys and girls within xx years</w:t>
            </w:r>
          </w:p>
        </w:tc>
      </w:tr>
      <w:tr w:rsidR="00A0075F" w:rsidRPr="005C7737" w14:paraId="63AAAA2F" w14:textId="77777777" w:rsidTr="003C5527">
        <w:tc>
          <w:tcPr>
            <w:tcW w:w="3923" w:type="dxa"/>
            <w:tcBorders>
              <w:top w:val="single" w:sz="4" w:space="0" w:color="auto"/>
              <w:left w:val="single" w:sz="4" w:space="0" w:color="auto"/>
              <w:bottom w:val="single" w:sz="4" w:space="0" w:color="auto"/>
              <w:right w:val="single" w:sz="4" w:space="0" w:color="auto"/>
            </w:tcBorders>
            <w:shd w:val="clear" w:color="auto" w:fill="FDE9D9"/>
          </w:tcPr>
          <w:p w14:paraId="2243514A"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2.</w:t>
            </w:r>
            <w:r w:rsidRPr="005C7737">
              <w:rPr>
                <w:rFonts w:ascii="Times New Roman" w:hAnsi="Times New Roman"/>
                <w:sz w:val="20"/>
                <w:szCs w:val="20"/>
              </w:rPr>
              <w:tab/>
              <w:t>Post-basic education expanded strategically to meet needs for knowledge and skills related to employment and livelihoods</w:t>
            </w:r>
          </w:p>
        </w:tc>
        <w:tc>
          <w:tcPr>
            <w:tcW w:w="7667" w:type="dxa"/>
            <w:tcBorders>
              <w:top w:val="single" w:sz="4" w:space="0" w:color="auto"/>
              <w:left w:val="single" w:sz="4" w:space="0" w:color="auto"/>
              <w:bottom w:val="single" w:sz="4" w:space="0" w:color="auto"/>
              <w:right w:val="single" w:sz="4" w:space="0" w:color="auto"/>
            </w:tcBorders>
            <w:shd w:val="clear" w:color="auto" w:fill="FDE9D9"/>
          </w:tcPr>
          <w:p w14:paraId="0B9256D5"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 </w:t>
            </w:r>
            <w:proofErr w:type="gramStart"/>
            <w:r w:rsidRPr="005C7737">
              <w:rPr>
                <w:rFonts w:ascii="Times New Roman" w:hAnsi="Times New Roman"/>
                <w:sz w:val="20"/>
                <w:szCs w:val="20"/>
              </w:rPr>
              <w:t>of</w:t>
            </w:r>
            <w:proofErr w:type="gramEnd"/>
            <w:r w:rsidRPr="005C7737">
              <w:rPr>
                <w:rFonts w:ascii="Times New Roman" w:hAnsi="Times New Roman"/>
                <w:sz w:val="20"/>
                <w:szCs w:val="20"/>
              </w:rPr>
              <w:t xml:space="preserve"> students of senior secondary/TVET/tertiary age (15-25) who complete an accredited qualification</w:t>
            </w:r>
          </w:p>
        </w:tc>
        <w:tc>
          <w:tcPr>
            <w:tcW w:w="3139" w:type="dxa"/>
            <w:tcBorders>
              <w:top w:val="single" w:sz="4" w:space="0" w:color="auto"/>
              <w:left w:val="single" w:sz="4" w:space="0" w:color="auto"/>
              <w:bottom w:val="single" w:sz="4" w:space="0" w:color="auto"/>
              <w:right w:val="single" w:sz="4" w:space="0" w:color="auto"/>
            </w:tcBorders>
            <w:shd w:val="clear" w:color="auto" w:fill="FDE9D9"/>
          </w:tcPr>
          <w:p w14:paraId="0819DFC8"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X% of boys and girls within xx years, depending on country starting point</w:t>
            </w:r>
          </w:p>
        </w:tc>
      </w:tr>
      <w:tr w:rsidR="00A0075F" w:rsidRPr="005C7737" w14:paraId="52456107" w14:textId="77777777" w:rsidTr="003C5527">
        <w:trPr>
          <w:trHeight w:val="693"/>
        </w:trPr>
        <w:tc>
          <w:tcPr>
            <w:tcW w:w="3923" w:type="dxa"/>
            <w:tcBorders>
              <w:top w:val="single" w:sz="4" w:space="0" w:color="auto"/>
              <w:left w:val="single" w:sz="4" w:space="0" w:color="auto"/>
              <w:bottom w:val="single" w:sz="4" w:space="0" w:color="auto"/>
              <w:right w:val="single" w:sz="4" w:space="0" w:color="auto"/>
            </w:tcBorders>
            <w:shd w:val="clear" w:color="auto" w:fill="FDE9D9"/>
          </w:tcPr>
          <w:p w14:paraId="254FC590"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3.</w:t>
            </w:r>
            <w:r w:rsidRPr="005C7737">
              <w:rPr>
                <w:rFonts w:ascii="Times New Roman" w:hAnsi="Times New Roman"/>
                <w:sz w:val="20"/>
                <w:szCs w:val="20"/>
              </w:rPr>
              <w:tab/>
              <w:t>Reduce and seek to eliminate differences in educational outcomes among learners associated with household wealth, gender, special needs, location, age and social group</w:t>
            </w:r>
          </w:p>
        </w:tc>
        <w:tc>
          <w:tcPr>
            <w:tcW w:w="7667" w:type="dxa"/>
            <w:tcBorders>
              <w:top w:val="single" w:sz="4" w:space="0" w:color="auto"/>
              <w:left w:val="single" w:sz="4" w:space="0" w:color="auto"/>
              <w:bottom w:val="single" w:sz="4" w:space="0" w:color="auto"/>
              <w:right w:val="single" w:sz="4" w:space="0" w:color="auto"/>
            </w:tcBorders>
            <w:shd w:val="clear" w:color="auto" w:fill="FDE9D9"/>
          </w:tcPr>
          <w:p w14:paraId="005ADBCA"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 </w:t>
            </w:r>
            <w:proofErr w:type="gramStart"/>
            <w:r w:rsidRPr="005C7737">
              <w:rPr>
                <w:rFonts w:ascii="Times New Roman" w:hAnsi="Times New Roman"/>
                <w:sz w:val="20"/>
                <w:szCs w:val="20"/>
              </w:rPr>
              <w:t>of</w:t>
            </w:r>
            <w:proofErr w:type="gramEnd"/>
            <w:r w:rsidRPr="005C7737">
              <w:rPr>
                <w:rFonts w:ascii="Times New Roman" w:hAnsi="Times New Roman"/>
                <w:sz w:val="20"/>
                <w:szCs w:val="20"/>
              </w:rPr>
              <w:t xml:space="preserve"> children from the bottom 20% of household income achieving x% in national learning assessments (NLAs) compared to those from the top 20%</w:t>
            </w:r>
          </w:p>
          <w:p w14:paraId="38AE89E2"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Comparative achievement of boys compared to girls in NLAs</w:t>
            </w:r>
          </w:p>
          <w:p w14:paraId="1AEC711B"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Comparative achievement of those with special needs in NLAs</w:t>
            </w:r>
          </w:p>
          <w:p w14:paraId="7BBBDE0A"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Comparative achievement of those in disadvantaged geographic locations in NLAs</w:t>
            </w:r>
          </w:p>
          <w:p w14:paraId="71421F8A"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Comparative achievement of those from marginalised social groups in NLAs</w:t>
            </w:r>
          </w:p>
        </w:tc>
        <w:tc>
          <w:tcPr>
            <w:tcW w:w="3139" w:type="dxa"/>
            <w:tcBorders>
              <w:top w:val="single" w:sz="4" w:space="0" w:color="auto"/>
              <w:left w:val="single" w:sz="4" w:space="0" w:color="auto"/>
              <w:bottom w:val="single" w:sz="4" w:space="0" w:color="auto"/>
              <w:right w:val="single" w:sz="4" w:space="0" w:color="auto"/>
            </w:tcBorders>
            <w:shd w:val="clear" w:color="auto" w:fill="FDE9D9"/>
          </w:tcPr>
          <w:p w14:paraId="10C0DF5B"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X% of boys and girls within xx years</w:t>
            </w:r>
          </w:p>
        </w:tc>
      </w:tr>
    </w:tbl>
    <w:p w14:paraId="4AA82182" w14:textId="77777777" w:rsidR="00A0075F" w:rsidRPr="005C7737" w:rsidRDefault="00A0075F" w:rsidP="00A0075F">
      <w:pPr>
        <w:jc w:val="both"/>
        <w:rPr>
          <w:rFonts w:ascii="Times New Roman" w:hAnsi="Times New Roman"/>
          <w:sz w:val="20"/>
          <w:szCs w:val="20"/>
        </w:rPr>
      </w:pPr>
    </w:p>
    <w:p w14:paraId="2F1A5B82" w14:textId="77777777" w:rsidR="00A0075F" w:rsidRPr="005C7737" w:rsidRDefault="00A0075F" w:rsidP="00A0075F">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0466"/>
      </w:tblGrid>
      <w:tr w:rsidR="00A0075F" w:rsidRPr="005C7737" w14:paraId="166CA773" w14:textId="77777777" w:rsidTr="003C5527">
        <w:tc>
          <w:tcPr>
            <w:tcW w:w="13585" w:type="dxa"/>
            <w:gridSpan w:val="2"/>
            <w:tcBorders>
              <w:top w:val="single" w:sz="4" w:space="0" w:color="auto"/>
              <w:left w:val="single" w:sz="4" w:space="0" w:color="auto"/>
              <w:bottom w:val="single" w:sz="4" w:space="0" w:color="auto"/>
              <w:right w:val="single" w:sz="4" w:space="0" w:color="auto"/>
            </w:tcBorders>
            <w:shd w:val="clear" w:color="auto" w:fill="D6E3BC"/>
          </w:tcPr>
          <w:p w14:paraId="2135578E"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Cross-cutting themes</w:t>
            </w:r>
          </w:p>
        </w:tc>
      </w:tr>
      <w:tr w:rsidR="00A0075F" w:rsidRPr="005C7737" w14:paraId="07E158F5" w14:textId="77777777" w:rsidTr="003C5527">
        <w:tc>
          <w:tcPr>
            <w:tcW w:w="3119" w:type="dxa"/>
            <w:tcBorders>
              <w:top w:val="single" w:sz="4" w:space="0" w:color="auto"/>
              <w:left w:val="single" w:sz="4" w:space="0" w:color="auto"/>
              <w:bottom w:val="single" w:sz="4" w:space="0" w:color="auto"/>
              <w:right w:val="single" w:sz="4" w:space="0" w:color="auto"/>
            </w:tcBorders>
            <w:shd w:val="clear" w:color="auto" w:fill="EAF1DD"/>
          </w:tcPr>
          <w:p w14:paraId="6160977B"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Education in Emergencies</w:t>
            </w:r>
          </w:p>
        </w:tc>
        <w:tc>
          <w:tcPr>
            <w:tcW w:w="10466" w:type="dxa"/>
            <w:tcBorders>
              <w:top w:val="single" w:sz="4" w:space="0" w:color="auto"/>
              <w:left w:val="single" w:sz="4" w:space="0" w:color="auto"/>
              <w:bottom w:val="single" w:sz="4" w:space="0" w:color="auto"/>
              <w:right w:val="single" w:sz="4" w:space="0" w:color="auto"/>
            </w:tcBorders>
            <w:shd w:val="clear" w:color="auto" w:fill="EAF1DD"/>
          </w:tcPr>
          <w:p w14:paraId="51A02612"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Conflict and disaster risk reduction integrated into all national education sector plans</w:t>
            </w:r>
          </w:p>
        </w:tc>
      </w:tr>
      <w:tr w:rsidR="00A0075F" w:rsidRPr="005C7737" w14:paraId="5778D3CA" w14:textId="77777777" w:rsidTr="003C5527">
        <w:tc>
          <w:tcPr>
            <w:tcW w:w="3119" w:type="dxa"/>
            <w:tcBorders>
              <w:top w:val="single" w:sz="4" w:space="0" w:color="auto"/>
              <w:left w:val="single" w:sz="4" w:space="0" w:color="auto"/>
              <w:bottom w:val="single" w:sz="4" w:space="0" w:color="auto"/>
              <w:right w:val="single" w:sz="4" w:space="0" w:color="auto"/>
            </w:tcBorders>
            <w:shd w:val="clear" w:color="auto" w:fill="EAF1DD"/>
          </w:tcPr>
          <w:p w14:paraId="6B1E6F5D"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Migration</w:t>
            </w:r>
          </w:p>
        </w:tc>
        <w:tc>
          <w:tcPr>
            <w:tcW w:w="10466" w:type="dxa"/>
            <w:tcBorders>
              <w:top w:val="single" w:sz="4" w:space="0" w:color="auto"/>
              <w:left w:val="single" w:sz="4" w:space="0" w:color="auto"/>
              <w:bottom w:val="single" w:sz="4" w:space="0" w:color="auto"/>
              <w:right w:val="single" w:sz="4" w:space="0" w:color="auto"/>
            </w:tcBorders>
            <w:shd w:val="clear" w:color="auto" w:fill="EAF1DD"/>
          </w:tcPr>
          <w:p w14:paraId="09A3441D"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All migrants of school-age or who are education professionals recorded in monitoring of education goals by the host country to inform policy formulation</w:t>
            </w:r>
          </w:p>
        </w:tc>
      </w:tr>
      <w:tr w:rsidR="00A0075F" w:rsidRPr="005C7737" w14:paraId="2EB70931" w14:textId="77777777" w:rsidTr="003C5527">
        <w:tc>
          <w:tcPr>
            <w:tcW w:w="3119" w:type="dxa"/>
            <w:tcBorders>
              <w:top w:val="single" w:sz="4" w:space="0" w:color="auto"/>
              <w:left w:val="single" w:sz="4" w:space="0" w:color="auto"/>
              <w:bottom w:val="single" w:sz="4" w:space="0" w:color="auto"/>
              <w:right w:val="single" w:sz="4" w:space="0" w:color="auto"/>
            </w:tcBorders>
            <w:shd w:val="clear" w:color="auto" w:fill="EAF1DD"/>
          </w:tcPr>
          <w:p w14:paraId="5161E29E"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Gender</w:t>
            </w:r>
          </w:p>
        </w:tc>
        <w:tc>
          <w:tcPr>
            <w:tcW w:w="10466" w:type="dxa"/>
            <w:tcBorders>
              <w:top w:val="single" w:sz="4" w:space="0" w:color="auto"/>
              <w:left w:val="single" w:sz="4" w:space="0" w:color="auto"/>
              <w:bottom w:val="single" w:sz="4" w:space="0" w:color="auto"/>
              <w:right w:val="single" w:sz="4" w:space="0" w:color="auto"/>
            </w:tcBorders>
            <w:shd w:val="clear" w:color="auto" w:fill="EAF1DD"/>
          </w:tcPr>
          <w:p w14:paraId="333FB95E"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All reporting and evaluation of the development goals disaggregated by sex and analysed through a gender lens</w:t>
            </w:r>
          </w:p>
        </w:tc>
      </w:tr>
      <w:tr w:rsidR="00A0075F" w:rsidRPr="005C7737" w14:paraId="2EC32E6D" w14:textId="77777777" w:rsidTr="003C5527">
        <w:trPr>
          <w:trHeight w:val="854"/>
        </w:trPr>
        <w:tc>
          <w:tcPr>
            <w:tcW w:w="3119" w:type="dxa"/>
            <w:tcBorders>
              <w:top w:val="single" w:sz="4" w:space="0" w:color="auto"/>
              <w:left w:val="single" w:sz="4" w:space="0" w:color="auto"/>
              <w:bottom w:val="single" w:sz="4" w:space="0" w:color="auto"/>
              <w:right w:val="single" w:sz="4" w:space="0" w:color="auto"/>
            </w:tcBorders>
            <w:shd w:val="clear" w:color="auto" w:fill="EAF1DD"/>
          </w:tcPr>
          <w:p w14:paraId="3EE85F90"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Education for Sustainable Development</w:t>
            </w:r>
          </w:p>
        </w:tc>
        <w:tc>
          <w:tcPr>
            <w:tcW w:w="10466" w:type="dxa"/>
            <w:tcBorders>
              <w:top w:val="single" w:sz="4" w:space="0" w:color="auto"/>
              <w:left w:val="single" w:sz="4" w:space="0" w:color="auto"/>
              <w:bottom w:val="single" w:sz="4" w:space="0" w:color="auto"/>
              <w:right w:val="single" w:sz="4" w:space="0" w:color="auto"/>
            </w:tcBorders>
            <w:shd w:val="clear" w:color="auto" w:fill="EAF1DD"/>
          </w:tcPr>
          <w:p w14:paraId="73A6EB14"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Education for sustainable development mainstreamed in all education policies, teacher and school leader preparation, and curricula</w:t>
            </w:r>
          </w:p>
          <w:p w14:paraId="65956150" w14:textId="77777777" w:rsidR="00A0075F" w:rsidRPr="005C7737" w:rsidRDefault="00A0075F" w:rsidP="003C5527">
            <w:pPr>
              <w:jc w:val="both"/>
              <w:rPr>
                <w:rFonts w:ascii="Times New Roman" w:hAnsi="Times New Roman"/>
                <w:sz w:val="20"/>
                <w:szCs w:val="20"/>
              </w:rPr>
            </w:pPr>
          </w:p>
        </w:tc>
      </w:tr>
    </w:tbl>
    <w:p w14:paraId="10D8E8D0" w14:textId="77777777" w:rsidR="00A0075F" w:rsidRDefault="00A0075F" w:rsidP="00A0075F">
      <w:pPr>
        <w:jc w:val="both"/>
        <w:rPr>
          <w:rFonts w:ascii="Times New Roman" w:hAnsi="Times New Roman"/>
          <w:sz w:val="20"/>
          <w:szCs w:val="20"/>
        </w:rPr>
        <w:sectPr w:rsidR="00A0075F" w:rsidSect="005C7737">
          <w:pgSz w:w="16820" w:h="11900" w:orient="landscape"/>
          <w:pgMar w:top="1474" w:right="1977" w:bottom="1474" w:left="147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4883"/>
        <w:gridCol w:w="7342"/>
        <w:gridCol w:w="284"/>
      </w:tblGrid>
      <w:tr w:rsidR="00A0075F" w:rsidRPr="005C7737" w14:paraId="36034A8F" w14:textId="77777777" w:rsidTr="003C5527">
        <w:tc>
          <w:tcPr>
            <w:tcW w:w="2034" w:type="dxa"/>
            <w:tcBorders>
              <w:top w:val="single" w:sz="4" w:space="0" w:color="auto"/>
              <w:left w:val="single" w:sz="4" w:space="0" w:color="auto"/>
              <w:bottom w:val="single" w:sz="4" w:space="0" w:color="auto"/>
              <w:right w:val="single" w:sz="4" w:space="0" w:color="auto"/>
            </w:tcBorders>
            <w:shd w:val="clear" w:color="auto" w:fill="B8CCE4"/>
          </w:tcPr>
          <w:p w14:paraId="6C68258A"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br w:type="page"/>
            </w:r>
            <w:r w:rsidRPr="005C7737">
              <w:rPr>
                <w:rFonts w:ascii="Times New Roman" w:hAnsi="Times New Roman"/>
                <w:sz w:val="20"/>
                <w:szCs w:val="20"/>
              </w:rPr>
              <w:br w:type="page"/>
              <w:t>Subordinate goals</w:t>
            </w:r>
          </w:p>
        </w:tc>
        <w:tc>
          <w:tcPr>
            <w:tcW w:w="4509" w:type="dxa"/>
            <w:tcBorders>
              <w:top w:val="single" w:sz="4" w:space="0" w:color="auto"/>
              <w:left w:val="single" w:sz="4" w:space="0" w:color="auto"/>
              <w:bottom w:val="single" w:sz="4" w:space="0" w:color="auto"/>
              <w:right w:val="single" w:sz="4" w:space="0" w:color="auto"/>
            </w:tcBorders>
            <w:shd w:val="clear" w:color="auto" w:fill="B8CCE4"/>
          </w:tcPr>
          <w:p w14:paraId="7274FEE3"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Goal</w:t>
            </w:r>
          </w:p>
        </w:tc>
        <w:tc>
          <w:tcPr>
            <w:tcW w:w="7042" w:type="dxa"/>
            <w:gridSpan w:val="2"/>
            <w:tcBorders>
              <w:top w:val="single" w:sz="4" w:space="0" w:color="auto"/>
              <w:left w:val="single" w:sz="4" w:space="0" w:color="auto"/>
              <w:bottom w:val="single" w:sz="4" w:space="0" w:color="auto"/>
              <w:right w:val="single" w:sz="4" w:space="0" w:color="auto"/>
            </w:tcBorders>
            <w:shd w:val="clear" w:color="auto" w:fill="B8CCE4"/>
          </w:tcPr>
          <w:p w14:paraId="0D635011"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Indicator</w:t>
            </w:r>
          </w:p>
        </w:tc>
      </w:tr>
      <w:tr w:rsidR="00A0075F" w:rsidRPr="005C7737" w14:paraId="671D750D" w14:textId="77777777" w:rsidTr="003C5527">
        <w:tc>
          <w:tcPr>
            <w:tcW w:w="2034" w:type="dxa"/>
            <w:tcBorders>
              <w:top w:val="single" w:sz="4" w:space="0" w:color="auto"/>
              <w:left w:val="single" w:sz="4" w:space="0" w:color="auto"/>
              <w:bottom w:val="single" w:sz="4" w:space="0" w:color="auto"/>
              <w:right w:val="single" w:sz="4" w:space="0" w:color="auto"/>
            </w:tcBorders>
            <w:shd w:val="clear" w:color="auto" w:fill="DBE5F1"/>
          </w:tcPr>
          <w:p w14:paraId="37501423" w14:textId="77777777" w:rsidR="00A0075F" w:rsidRPr="005C7737" w:rsidRDefault="00A0075F" w:rsidP="003C5527">
            <w:pPr>
              <w:jc w:val="both"/>
              <w:rPr>
                <w:rFonts w:ascii="Times New Roman" w:hAnsi="Times New Roman"/>
                <w:sz w:val="20"/>
                <w:szCs w:val="20"/>
              </w:rPr>
            </w:pPr>
            <w:proofErr w:type="spellStart"/>
            <w:r w:rsidRPr="005C7737">
              <w:rPr>
                <w:rFonts w:ascii="Times New Roman" w:hAnsi="Times New Roman"/>
                <w:sz w:val="20"/>
                <w:szCs w:val="20"/>
              </w:rPr>
              <w:t>i</w:t>
            </w:r>
            <w:proofErr w:type="spellEnd"/>
            <w:r w:rsidRPr="005C7737">
              <w:rPr>
                <w:rFonts w:ascii="Times New Roman" w:hAnsi="Times New Roman"/>
                <w:sz w:val="20"/>
                <w:szCs w:val="20"/>
              </w:rPr>
              <w:t xml:space="preserve">. </w:t>
            </w:r>
            <w:r w:rsidRPr="005C7737">
              <w:rPr>
                <w:rFonts w:ascii="Times New Roman" w:hAnsi="Times New Roman"/>
                <w:sz w:val="20"/>
                <w:szCs w:val="20"/>
              </w:rPr>
              <w:tab/>
              <w:t>Early childhood education and development</w:t>
            </w:r>
          </w:p>
        </w:tc>
        <w:tc>
          <w:tcPr>
            <w:tcW w:w="4509" w:type="dxa"/>
            <w:tcBorders>
              <w:top w:val="single" w:sz="4" w:space="0" w:color="auto"/>
              <w:left w:val="single" w:sz="4" w:space="0" w:color="auto"/>
              <w:bottom w:val="single" w:sz="4" w:space="0" w:color="auto"/>
              <w:right w:val="single" w:sz="4" w:space="0" w:color="auto"/>
            </w:tcBorders>
            <w:shd w:val="clear" w:color="auto" w:fill="DBE5F1"/>
          </w:tcPr>
          <w:p w14:paraId="1621416F"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Reduce and seek to eliminate early childhood under-nutrition and avoidable childhood disease, and universalise access to community based ECE/D and pre-school below age 6 years</w:t>
            </w:r>
          </w:p>
        </w:tc>
        <w:tc>
          <w:tcPr>
            <w:tcW w:w="7042" w:type="dxa"/>
            <w:gridSpan w:val="2"/>
            <w:tcBorders>
              <w:top w:val="single" w:sz="4" w:space="0" w:color="auto"/>
              <w:left w:val="single" w:sz="4" w:space="0" w:color="auto"/>
              <w:bottom w:val="single" w:sz="4" w:space="0" w:color="auto"/>
              <w:right w:val="single" w:sz="4" w:space="0" w:color="auto"/>
            </w:tcBorders>
            <w:shd w:val="clear" w:color="auto" w:fill="DBE5F1"/>
          </w:tcPr>
          <w:p w14:paraId="14D7F414"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Basic health and child development</w:t>
            </w:r>
          </w:p>
          <w:p w14:paraId="3BBB51F2"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Body Mass Index, immunisation rates, childhood diseases</w:t>
            </w:r>
          </w:p>
          <w:p w14:paraId="1C4390FA"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Participation rates in organised ECE/D and pre-school by age</w:t>
            </w:r>
          </w:p>
        </w:tc>
      </w:tr>
      <w:tr w:rsidR="00A0075F" w:rsidRPr="005C7737" w14:paraId="2D96C606" w14:textId="77777777" w:rsidTr="003C5527">
        <w:tc>
          <w:tcPr>
            <w:tcW w:w="2034" w:type="dxa"/>
            <w:tcBorders>
              <w:top w:val="single" w:sz="4" w:space="0" w:color="auto"/>
              <w:left w:val="single" w:sz="4" w:space="0" w:color="auto"/>
              <w:bottom w:val="single" w:sz="4" w:space="0" w:color="auto"/>
              <w:right w:val="single" w:sz="4" w:space="0" w:color="auto"/>
            </w:tcBorders>
            <w:shd w:val="clear" w:color="auto" w:fill="DBE5F1"/>
          </w:tcPr>
          <w:p w14:paraId="70205055"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ii. </w:t>
            </w:r>
            <w:r w:rsidRPr="005C7737">
              <w:rPr>
                <w:rFonts w:ascii="Times New Roman" w:hAnsi="Times New Roman"/>
                <w:sz w:val="20"/>
                <w:szCs w:val="20"/>
              </w:rPr>
              <w:tab/>
              <w:t>Basic education</w:t>
            </w:r>
          </w:p>
        </w:tc>
        <w:tc>
          <w:tcPr>
            <w:tcW w:w="4509" w:type="dxa"/>
            <w:tcBorders>
              <w:top w:val="single" w:sz="4" w:space="0" w:color="auto"/>
              <w:left w:val="single" w:sz="4" w:space="0" w:color="auto"/>
              <w:bottom w:val="single" w:sz="4" w:space="0" w:color="auto"/>
              <w:right w:val="single" w:sz="4" w:space="0" w:color="auto"/>
            </w:tcBorders>
            <w:shd w:val="clear" w:color="auto" w:fill="DBE5F1"/>
          </w:tcPr>
          <w:p w14:paraId="22B6BA34"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Universalise an ‘expanded vision of access’ to a full cycle of a minimum of 9 years of continuous basic education</w:t>
            </w:r>
          </w:p>
          <w:p w14:paraId="571210F7"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Successful achievement of national learning outcomes in cognitive, affective and psychomotor domains for both primary and lower secondary cycles at age appropriate levels up to the age of 15 years</w:t>
            </w:r>
          </w:p>
        </w:tc>
        <w:tc>
          <w:tcPr>
            <w:tcW w:w="7042" w:type="dxa"/>
            <w:gridSpan w:val="2"/>
            <w:tcBorders>
              <w:top w:val="single" w:sz="4" w:space="0" w:color="auto"/>
              <w:left w:val="single" w:sz="4" w:space="0" w:color="auto"/>
              <w:bottom w:val="single" w:sz="4" w:space="0" w:color="auto"/>
              <w:right w:val="single" w:sz="4" w:space="0" w:color="auto"/>
            </w:tcBorders>
            <w:shd w:val="clear" w:color="auto" w:fill="DBE5F1"/>
          </w:tcPr>
          <w:p w14:paraId="6B21B6C9"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Enrolment at Grades 1-12</w:t>
            </w:r>
          </w:p>
          <w:p w14:paraId="076E1BCF"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Completion rate by age at Grades 1, 3, 6, 9 and 12</w:t>
            </w:r>
          </w:p>
          <w:p w14:paraId="262D7F23"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Trained and qualified teacher rate</w:t>
            </w:r>
          </w:p>
          <w:p w14:paraId="3A731843"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Trained and qualified school leader rate</w:t>
            </w:r>
          </w:p>
          <w:p w14:paraId="6C76A52B"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National Learning Assessment standards at Grade 3, 6, 9 and 12</w:t>
            </w:r>
          </w:p>
          <w:p w14:paraId="1EAB52DE"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Yield (Level of achievement * % of age group achieving level)</w:t>
            </w:r>
          </w:p>
        </w:tc>
      </w:tr>
      <w:tr w:rsidR="00A0075F" w:rsidRPr="005C7737" w14:paraId="1DA4880A" w14:textId="77777777" w:rsidTr="003C5527">
        <w:tc>
          <w:tcPr>
            <w:tcW w:w="2034" w:type="dxa"/>
            <w:tcBorders>
              <w:top w:val="single" w:sz="4" w:space="0" w:color="auto"/>
              <w:left w:val="single" w:sz="4" w:space="0" w:color="auto"/>
              <w:bottom w:val="single" w:sz="4" w:space="0" w:color="auto"/>
              <w:right w:val="single" w:sz="4" w:space="0" w:color="auto"/>
            </w:tcBorders>
            <w:shd w:val="clear" w:color="auto" w:fill="DBE5F1"/>
          </w:tcPr>
          <w:p w14:paraId="0C379093"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iii. </w:t>
            </w:r>
            <w:r w:rsidRPr="005C7737">
              <w:rPr>
                <w:rFonts w:ascii="Times New Roman" w:hAnsi="Times New Roman"/>
                <w:sz w:val="20"/>
                <w:szCs w:val="20"/>
              </w:rPr>
              <w:tab/>
              <w:t>Post-basic and post-secondary education</w:t>
            </w:r>
          </w:p>
        </w:tc>
        <w:tc>
          <w:tcPr>
            <w:tcW w:w="4509" w:type="dxa"/>
            <w:tcBorders>
              <w:top w:val="single" w:sz="4" w:space="0" w:color="auto"/>
              <w:left w:val="single" w:sz="4" w:space="0" w:color="auto"/>
              <w:bottom w:val="single" w:sz="4" w:space="0" w:color="auto"/>
              <w:right w:val="single" w:sz="4" w:space="0" w:color="auto"/>
            </w:tcBorders>
            <w:shd w:val="clear" w:color="auto" w:fill="DBE5F1"/>
          </w:tcPr>
          <w:p w14:paraId="4AB21A50"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Invest strategically in expanded and equitable access to post-basic and tertiary level education and training linked to wellbeing, livelihoods and employment and the transition to responsible adult citizenship</w:t>
            </w:r>
          </w:p>
        </w:tc>
        <w:tc>
          <w:tcPr>
            <w:tcW w:w="7042" w:type="dxa"/>
            <w:gridSpan w:val="2"/>
            <w:tcBorders>
              <w:top w:val="single" w:sz="4" w:space="0" w:color="auto"/>
              <w:left w:val="single" w:sz="4" w:space="0" w:color="auto"/>
              <w:bottom w:val="single" w:sz="4" w:space="0" w:color="auto"/>
              <w:right w:val="single" w:sz="4" w:space="0" w:color="auto"/>
            </w:tcBorders>
            <w:shd w:val="clear" w:color="auto" w:fill="DBE5F1"/>
          </w:tcPr>
          <w:p w14:paraId="2DA850C5"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Enrolments by grade at secondary level</w:t>
            </w:r>
          </w:p>
          <w:p w14:paraId="2D2F6A03"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 </w:t>
            </w:r>
            <w:proofErr w:type="gramStart"/>
            <w:r w:rsidRPr="005C7737">
              <w:rPr>
                <w:rFonts w:ascii="Times New Roman" w:hAnsi="Times New Roman"/>
                <w:sz w:val="20"/>
                <w:szCs w:val="20"/>
              </w:rPr>
              <w:t>of</w:t>
            </w:r>
            <w:proofErr w:type="gramEnd"/>
            <w:r w:rsidRPr="005C7737">
              <w:rPr>
                <w:rFonts w:ascii="Times New Roman" w:hAnsi="Times New Roman"/>
                <w:sz w:val="20"/>
                <w:szCs w:val="20"/>
              </w:rPr>
              <w:t xml:space="preserve"> age group enrolled by Grade </w:t>
            </w:r>
          </w:p>
          <w:p w14:paraId="0F02C3C5"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Transition rates</w:t>
            </w:r>
          </w:p>
          <w:p w14:paraId="781D0566"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Completion rates</w:t>
            </w:r>
          </w:p>
          <w:p w14:paraId="0C651A09"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All disaggregated by wealth quintile, location, gender, age and social group</w:t>
            </w:r>
          </w:p>
        </w:tc>
      </w:tr>
      <w:tr w:rsidR="00A0075F" w:rsidRPr="005C7737" w14:paraId="63298BEB" w14:textId="77777777" w:rsidTr="003C5527">
        <w:tc>
          <w:tcPr>
            <w:tcW w:w="2034" w:type="dxa"/>
            <w:tcBorders>
              <w:top w:val="single" w:sz="4" w:space="0" w:color="auto"/>
              <w:left w:val="single" w:sz="4" w:space="0" w:color="auto"/>
              <w:bottom w:val="single" w:sz="4" w:space="0" w:color="auto"/>
              <w:right w:val="single" w:sz="4" w:space="0" w:color="auto"/>
            </w:tcBorders>
            <w:shd w:val="clear" w:color="auto" w:fill="DBE5F1"/>
          </w:tcPr>
          <w:p w14:paraId="4C03A706"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iv. </w:t>
            </w:r>
            <w:r w:rsidRPr="005C7737">
              <w:rPr>
                <w:rFonts w:ascii="Times New Roman" w:hAnsi="Times New Roman"/>
                <w:sz w:val="20"/>
                <w:szCs w:val="20"/>
              </w:rPr>
              <w:tab/>
              <w:t>Non-formal education and lifelong learning</w:t>
            </w:r>
          </w:p>
        </w:tc>
        <w:tc>
          <w:tcPr>
            <w:tcW w:w="4509" w:type="dxa"/>
            <w:tcBorders>
              <w:top w:val="single" w:sz="4" w:space="0" w:color="auto"/>
              <w:left w:val="single" w:sz="4" w:space="0" w:color="auto"/>
              <w:bottom w:val="single" w:sz="4" w:space="0" w:color="auto"/>
              <w:right w:val="single" w:sz="4" w:space="0" w:color="auto"/>
            </w:tcBorders>
            <w:shd w:val="clear" w:color="auto" w:fill="DBE5F1"/>
          </w:tcPr>
          <w:p w14:paraId="432B5E48"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Eliminate illiteracy and innumeracy amongst those under 50 years old</w:t>
            </w:r>
          </w:p>
          <w:p w14:paraId="71CCC679"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Provide education opportunities for young people and adults who have not successfully completed 9 years of basic education</w:t>
            </w:r>
          </w:p>
        </w:tc>
        <w:tc>
          <w:tcPr>
            <w:tcW w:w="7042" w:type="dxa"/>
            <w:gridSpan w:val="2"/>
            <w:tcBorders>
              <w:top w:val="single" w:sz="4" w:space="0" w:color="auto"/>
              <w:left w:val="single" w:sz="4" w:space="0" w:color="auto"/>
              <w:bottom w:val="single" w:sz="4" w:space="0" w:color="auto"/>
              <w:right w:val="single" w:sz="4" w:space="0" w:color="auto"/>
            </w:tcBorders>
            <w:shd w:val="clear" w:color="auto" w:fill="DBE5F1"/>
          </w:tcPr>
          <w:p w14:paraId="57E6F363"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Literacy and numeracy rates at ages 15-20, 21-25, 26-30, 31-35, 36-40, 41-45 and 46-50 using samples and graded tests</w:t>
            </w:r>
          </w:p>
          <w:p w14:paraId="5213F84D"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Trained and qualified non-formal education facilitators</w:t>
            </w:r>
          </w:p>
        </w:tc>
      </w:tr>
      <w:tr w:rsidR="00A0075F" w:rsidRPr="005C7737" w14:paraId="7CEE20C5" w14:textId="77777777" w:rsidTr="003C5527">
        <w:tc>
          <w:tcPr>
            <w:tcW w:w="2034" w:type="dxa"/>
            <w:tcBorders>
              <w:top w:val="single" w:sz="4" w:space="0" w:color="auto"/>
              <w:left w:val="single" w:sz="4" w:space="0" w:color="auto"/>
              <w:bottom w:val="single" w:sz="4" w:space="0" w:color="auto"/>
              <w:right w:val="single" w:sz="4" w:space="0" w:color="auto"/>
            </w:tcBorders>
            <w:shd w:val="clear" w:color="auto" w:fill="DBE5F1"/>
          </w:tcPr>
          <w:p w14:paraId="4BE9B06E"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v. </w:t>
            </w:r>
            <w:r w:rsidRPr="005C7737">
              <w:rPr>
                <w:rFonts w:ascii="Times New Roman" w:hAnsi="Times New Roman"/>
                <w:sz w:val="20"/>
                <w:szCs w:val="20"/>
              </w:rPr>
              <w:tab/>
              <w:t>Participation</w:t>
            </w:r>
          </w:p>
        </w:tc>
        <w:tc>
          <w:tcPr>
            <w:tcW w:w="4509" w:type="dxa"/>
            <w:tcBorders>
              <w:top w:val="single" w:sz="4" w:space="0" w:color="auto"/>
              <w:left w:val="single" w:sz="4" w:space="0" w:color="auto"/>
              <w:bottom w:val="single" w:sz="4" w:space="0" w:color="auto"/>
              <w:right w:val="single" w:sz="4" w:space="0" w:color="auto"/>
            </w:tcBorders>
            <w:shd w:val="clear" w:color="auto" w:fill="DBE5F1"/>
          </w:tcPr>
          <w:p w14:paraId="5F2241AD"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Reduce and seek to eliminate disparities in participation in education at school level linked to wealth, location, special needs, age, gender and social group and ensure all children have equal educational opportunities and reduce gaps in measured outcomes</w:t>
            </w:r>
          </w:p>
        </w:tc>
        <w:tc>
          <w:tcPr>
            <w:tcW w:w="7042" w:type="dxa"/>
            <w:gridSpan w:val="2"/>
            <w:tcBorders>
              <w:top w:val="single" w:sz="4" w:space="0" w:color="auto"/>
              <w:left w:val="single" w:sz="4" w:space="0" w:color="auto"/>
              <w:bottom w:val="single" w:sz="4" w:space="0" w:color="auto"/>
              <w:right w:val="single" w:sz="4" w:space="0" w:color="auto"/>
            </w:tcBorders>
            <w:shd w:val="clear" w:color="auto" w:fill="DBE5F1"/>
          </w:tcPr>
          <w:p w14:paraId="403E8242"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Participation rates by Grades 1, 6, 9, and 12 by wealth quintile, location, gender, special needs, age and social group </w:t>
            </w:r>
          </w:p>
          <w:p w14:paraId="3917F3D8"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Distribution of:</w:t>
            </w:r>
          </w:p>
          <w:p w14:paraId="66F28573"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 </w:t>
            </w:r>
            <w:proofErr w:type="gramStart"/>
            <w:r w:rsidRPr="005C7737">
              <w:rPr>
                <w:rFonts w:ascii="Times New Roman" w:hAnsi="Times New Roman"/>
                <w:sz w:val="20"/>
                <w:szCs w:val="20"/>
              </w:rPr>
              <w:t>pupil</w:t>
            </w:r>
            <w:proofErr w:type="gramEnd"/>
            <w:r w:rsidRPr="005C7737">
              <w:rPr>
                <w:rFonts w:ascii="Times New Roman" w:hAnsi="Times New Roman"/>
                <w:sz w:val="20"/>
                <w:szCs w:val="20"/>
              </w:rPr>
              <w:t>-teacher ratios and class size</w:t>
            </w:r>
          </w:p>
          <w:p w14:paraId="00F680C5"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 </w:t>
            </w:r>
            <w:proofErr w:type="gramStart"/>
            <w:r w:rsidRPr="005C7737">
              <w:rPr>
                <w:rFonts w:ascii="Times New Roman" w:hAnsi="Times New Roman"/>
                <w:sz w:val="20"/>
                <w:szCs w:val="20"/>
              </w:rPr>
              <w:t>distance</w:t>
            </w:r>
            <w:proofErr w:type="gramEnd"/>
            <w:r w:rsidRPr="005C7737">
              <w:rPr>
                <w:rFonts w:ascii="Times New Roman" w:hAnsi="Times New Roman"/>
                <w:sz w:val="20"/>
                <w:szCs w:val="20"/>
              </w:rPr>
              <w:t xml:space="preserve"> to school</w:t>
            </w:r>
          </w:p>
          <w:p w14:paraId="0BB6BFF0"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 </w:t>
            </w:r>
            <w:proofErr w:type="gramStart"/>
            <w:r w:rsidRPr="005C7737">
              <w:rPr>
                <w:rFonts w:ascii="Times New Roman" w:hAnsi="Times New Roman"/>
                <w:sz w:val="20"/>
                <w:szCs w:val="20"/>
              </w:rPr>
              <w:t>achievement</w:t>
            </w:r>
            <w:proofErr w:type="gramEnd"/>
            <w:r w:rsidRPr="005C7737">
              <w:rPr>
                <w:rFonts w:ascii="Times New Roman" w:hAnsi="Times New Roman"/>
                <w:sz w:val="20"/>
                <w:szCs w:val="20"/>
              </w:rPr>
              <w:t xml:space="preserve"> levels</w:t>
            </w:r>
          </w:p>
        </w:tc>
      </w:tr>
      <w:tr w:rsidR="00A0075F" w:rsidRPr="005C7737" w14:paraId="5A4F198A" w14:textId="77777777" w:rsidTr="003C5527">
        <w:tc>
          <w:tcPr>
            <w:tcW w:w="2034" w:type="dxa"/>
            <w:vMerge w:val="restart"/>
            <w:tcBorders>
              <w:top w:val="single" w:sz="4" w:space="0" w:color="auto"/>
              <w:left w:val="single" w:sz="4" w:space="0" w:color="auto"/>
              <w:bottom w:val="single" w:sz="4" w:space="0" w:color="auto"/>
              <w:right w:val="single" w:sz="4" w:space="0" w:color="auto"/>
            </w:tcBorders>
            <w:shd w:val="clear" w:color="auto" w:fill="DBE5F1"/>
          </w:tcPr>
          <w:p w14:paraId="566C0EF4"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vi. </w:t>
            </w:r>
            <w:r w:rsidRPr="005C7737">
              <w:rPr>
                <w:rFonts w:ascii="Times New Roman" w:hAnsi="Times New Roman"/>
                <w:sz w:val="20"/>
                <w:szCs w:val="20"/>
              </w:rPr>
              <w:tab/>
              <w:t>Infrastructure</w:t>
            </w:r>
          </w:p>
        </w:tc>
        <w:tc>
          <w:tcPr>
            <w:tcW w:w="4509" w:type="dxa"/>
            <w:vMerge w:val="restart"/>
            <w:tcBorders>
              <w:top w:val="single" w:sz="4" w:space="0" w:color="auto"/>
              <w:left w:val="single" w:sz="4" w:space="0" w:color="auto"/>
              <w:bottom w:val="single" w:sz="4" w:space="0" w:color="auto"/>
              <w:right w:val="single" w:sz="4" w:space="0" w:color="auto"/>
            </w:tcBorders>
            <w:shd w:val="clear" w:color="auto" w:fill="DBE5F1"/>
          </w:tcPr>
          <w:p w14:paraId="0A867FBC"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Provide adequate infrastructure for learning according to national norms for buildings, basic services, safety, learning materials, and learning infrastructure within appropriate distances of households</w:t>
            </w:r>
          </w:p>
        </w:tc>
        <w:tc>
          <w:tcPr>
            <w:tcW w:w="7042" w:type="dxa"/>
            <w:gridSpan w:val="2"/>
            <w:tcBorders>
              <w:top w:val="single" w:sz="4" w:space="0" w:color="auto"/>
              <w:left w:val="single" w:sz="4" w:space="0" w:color="auto"/>
              <w:bottom w:val="nil"/>
              <w:right w:val="single" w:sz="4" w:space="0" w:color="auto"/>
            </w:tcBorders>
            <w:shd w:val="clear" w:color="auto" w:fill="DBE5F1"/>
          </w:tcPr>
          <w:p w14:paraId="64DF01A6"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 </w:t>
            </w:r>
            <w:proofErr w:type="gramStart"/>
            <w:r w:rsidRPr="005C7737">
              <w:rPr>
                <w:rFonts w:ascii="Times New Roman" w:hAnsi="Times New Roman"/>
                <w:sz w:val="20"/>
                <w:szCs w:val="20"/>
              </w:rPr>
              <w:t>of</w:t>
            </w:r>
            <w:proofErr w:type="gramEnd"/>
            <w:r w:rsidRPr="005C7737">
              <w:rPr>
                <w:rFonts w:ascii="Times New Roman" w:hAnsi="Times New Roman"/>
                <w:sz w:val="20"/>
                <w:szCs w:val="20"/>
              </w:rPr>
              <w:t xml:space="preserve"> schools meeting standards for:</w:t>
            </w:r>
          </w:p>
        </w:tc>
      </w:tr>
      <w:tr w:rsidR="00A0075F" w:rsidRPr="005C7737" w14:paraId="1EB0B6F3" w14:textId="77777777" w:rsidTr="003C5527">
        <w:tc>
          <w:tcPr>
            <w:tcW w:w="2034" w:type="dxa"/>
            <w:vMerge/>
            <w:tcBorders>
              <w:top w:val="single" w:sz="4" w:space="0" w:color="auto"/>
              <w:left w:val="single" w:sz="4" w:space="0" w:color="auto"/>
              <w:bottom w:val="single" w:sz="4" w:space="0" w:color="auto"/>
              <w:right w:val="single" w:sz="4" w:space="0" w:color="auto"/>
            </w:tcBorders>
            <w:vAlign w:val="center"/>
          </w:tcPr>
          <w:p w14:paraId="2793B3FA" w14:textId="77777777" w:rsidR="00A0075F" w:rsidRPr="005C7737" w:rsidRDefault="00A0075F" w:rsidP="003C5527">
            <w:pPr>
              <w:jc w:val="both"/>
              <w:rPr>
                <w:rFonts w:ascii="Times New Roman" w:hAnsi="Times New Roman"/>
                <w:sz w:val="20"/>
                <w:szCs w:val="20"/>
              </w:rPr>
            </w:pPr>
          </w:p>
        </w:tc>
        <w:tc>
          <w:tcPr>
            <w:tcW w:w="4509" w:type="dxa"/>
            <w:vMerge/>
            <w:tcBorders>
              <w:top w:val="single" w:sz="4" w:space="0" w:color="auto"/>
              <w:left w:val="single" w:sz="4" w:space="0" w:color="auto"/>
              <w:bottom w:val="single" w:sz="4" w:space="0" w:color="auto"/>
              <w:right w:val="single" w:sz="4" w:space="0" w:color="auto"/>
            </w:tcBorders>
            <w:vAlign w:val="center"/>
          </w:tcPr>
          <w:p w14:paraId="686C466C" w14:textId="77777777" w:rsidR="00A0075F" w:rsidRPr="005C7737" w:rsidRDefault="00A0075F" w:rsidP="003C5527">
            <w:pPr>
              <w:jc w:val="both"/>
              <w:rPr>
                <w:rFonts w:ascii="Times New Roman" w:hAnsi="Times New Roman"/>
                <w:sz w:val="20"/>
                <w:szCs w:val="20"/>
              </w:rPr>
            </w:pPr>
          </w:p>
        </w:tc>
        <w:tc>
          <w:tcPr>
            <w:tcW w:w="6780" w:type="dxa"/>
            <w:tcBorders>
              <w:top w:val="nil"/>
              <w:left w:val="single" w:sz="4" w:space="0" w:color="auto"/>
              <w:bottom w:val="single" w:sz="4" w:space="0" w:color="auto"/>
              <w:right w:val="nil"/>
            </w:tcBorders>
            <w:shd w:val="clear" w:color="auto" w:fill="DBE5F1"/>
          </w:tcPr>
          <w:p w14:paraId="1CD69DD0"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 </w:t>
            </w:r>
            <w:proofErr w:type="gramStart"/>
            <w:r w:rsidRPr="005C7737">
              <w:rPr>
                <w:rFonts w:ascii="Times New Roman" w:hAnsi="Times New Roman"/>
                <w:sz w:val="20"/>
                <w:szCs w:val="20"/>
              </w:rPr>
              <w:t>sanitation</w:t>
            </w:r>
            <w:proofErr w:type="gramEnd"/>
            <w:r w:rsidRPr="005C7737">
              <w:rPr>
                <w:rFonts w:ascii="Times New Roman" w:hAnsi="Times New Roman"/>
                <w:sz w:val="20"/>
                <w:szCs w:val="20"/>
              </w:rPr>
              <w:tab/>
            </w:r>
            <w:r w:rsidRPr="005C7737">
              <w:rPr>
                <w:rFonts w:ascii="Times New Roman" w:hAnsi="Times New Roman"/>
                <w:sz w:val="20"/>
                <w:szCs w:val="20"/>
              </w:rPr>
              <w:tab/>
            </w:r>
            <w:r w:rsidRPr="005C7737">
              <w:rPr>
                <w:rFonts w:ascii="Times New Roman" w:hAnsi="Times New Roman"/>
                <w:sz w:val="20"/>
                <w:szCs w:val="20"/>
              </w:rPr>
              <w:tab/>
            </w:r>
            <w:r w:rsidRPr="005C7737">
              <w:rPr>
                <w:rFonts w:ascii="Times New Roman" w:hAnsi="Times New Roman"/>
                <w:sz w:val="20"/>
                <w:szCs w:val="20"/>
              </w:rPr>
              <w:tab/>
              <w:t>- furniture and equipment</w:t>
            </w:r>
          </w:p>
          <w:p w14:paraId="707102B6"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 </w:t>
            </w:r>
            <w:proofErr w:type="gramStart"/>
            <w:r w:rsidRPr="005C7737">
              <w:rPr>
                <w:rFonts w:ascii="Times New Roman" w:hAnsi="Times New Roman"/>
                <w:sz w:val="20"/>
                <w:szCs w:val="20"/>
              </w:rPr>
              <w:t>clean</w:t>
            </w:r>
            <w:proofErr w:type="gramEnd"/>
            <w:r w:rsidRPr="005C7737">
              <w:rPr>
                <w:rFonts w:ascii="Times New Roman" w:hAnsi="Times New Roman"/>
                <w:sz w:val="20"/>
                <w:szCs w:val="20"/>
              </w:rPr>
              <w:t xml:space="preserve"> water</w:t>
            </w:r>
            <w:r w:rsidRPr="005C7737">
              <w:rPr>
                <w:rFonts w:ascii="Times New Roman" w:hAnsi="Times New Roman"/>
                <w:sz w:val="20"/>
                <w:szCs w:val="20"/>
              </w:rPr>
              <w:tab/>
            </w:r>
            <w:r w:rsidRPr="005C7737">
              <w:rPr>
                <w:rFonts w:ascii="Times New Roman" w:hAnsi="Times New Roman"/>
                <w:sz w:val="20"/>
                <w:szCs w:val="20"/>
              </w:rPr>
              <w:tab/>
            </w:r>
            <w:r w:rsidRPr="005C7737">
              <w:rPr>
                <w:rFonts w:ascii="Times New Roman" w:hAnsi="Times New Roman"/>
                <w:sz w:val="20"/>
                <w:szCs w:val="20"/>
              </w:rPr>
              <w:tab/>
            </w:r>
            <w:r w:rsidRPr="005C7737">
              <w:rPr>
                <w:rFonts w:ascii="Times New Roman" w:hAnsi="Times New Roman"/>
                <w:sz w:val="20"/>
                <w:szCs w:val="20"/>
              </w:rPr>
              <w:tab/>
              <w:t>- electricity</w:t>
            </w:r>
          </w:p>
          <w:p w14:paraId="3A81EB44"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 </w:t>
            </w:r>
            <w:proofErr w:type="gramStart"/>
            <w:r w:rsidRPr="005C7737">
              <w:rPr>
                <w:rFonts w:ascii="Times New Roman" w:hAnsi="Times New Roman"/>
                <w:sz w:val="20"/>
                <w:szCs w:val="20"/>
              </w:rPr>
              <w:t>building</w:t>
            </w:r>
            <w:proofErr w:type="gramEnd"/>
            <w:r w:rsidRPr="005C7737">
              <w:rPr>
                <w:rFonts w:ascii="Times New Roman" w:hAnsi="Times New Roman"/>
                <w:sz w:val="20"/>
                <w:szCs w:val="20"/>
              </w:rPr>
              <w:t xml:space="preserve"> quality/learning  space/safety</w:t>
            </w:r>
            <w:r w:rsidRPr="005C7737">
              <w:rPr>
                <w:rFonts w:ascii="Times New Roman" w:hAnsi="Times New Roman"/>
                <w:sz w:val="20"/>
                <w:szCs w:val="20"/>
              </w:rPr>
              <w:tab/>
              <w:t>- security</w:t>
            </w:r>
          </w:p>
          <w:p w14:paraId="252B5FF4"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 </w:t>
            </w:r>
            <w:proofErr w:type="gramStart"/>
            <w:r w:rsidRPr="005C7737">
              <w:rPr>
                <w:rFonts w:ascii="Times New Roman" w:hAnsi="Times New Roman"/>
                <w:sz w:val="20"/>
                <w:szCs w:val="20"/>
              </w:rPr>
              <w:t>learning</w:t>
            </w:r>
            <w:proofErr w:type="gramEnd"/>
            <w:r w:rsidRPr="005C7737">
              <w:rPr>
                <w:rFonts w:ascii="Times New Roman" w:hAnsi="Times New Roman"/>
                <w:sz w:val="20"/>
                <w:szCs w:val="20"/>
              </w:rPr>
              <w:t xml:space="preserve"> materials</w:t>
            </w:r>
            <w:r w:rsidRPr="005C7737">
              <w:rPr>
                <w:rFonts w:ascii="Times New Roman" w:hAnsi="Times New Roman"/>
                <w:sz w:val="20"/>
                <w:szCs w:val="20"/>
              </w:rPr>
              <w:tab/>
            </w:r>
            <w:r w:rsidRPr="005C7737">
              <w:rPr>
                <w:rFonts w:ascii="Times New Roman" w:hAnsi="Times New Roman"/>
                <w:sz w:val="20"/>
                <w:szCs w:val="20"/>
              </w:rPr>
              <w:tab/>
            </w:r>
            <w:r w:rsidRPr="005C7737">
              <w:rPr>
                <w:rFonts w:ascii="Times New Roman" w:hAnsi="Times New Roman"/>
                <w:sz w:val="20"/>
                <w:szCs w:val="20"/>
              </w:rPr>
              <w:tab/>
              <w:t>- access to relevant technologies</w:t>
            </w:r>
          </w:p>
          <w:p w14:paraId="0C0CDBBA"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 xml:space="preserve">- </w:t>
            </w:r>
            <w:proofErr w:type="gramStart"/>
            <w:r w:rsidRPr="005C7737">
              <w:rPr>
                <w:rFonts w:ascii="Times New Roman" w:hAnsi="Times New Roman"/>
                <w:sz w:val="20"/>
                <w:szCs w:val="20"/>
              </w:rPr>
              <w:t>recreation</w:t>
            </w:r>
            <w:proofErr w:type="gramEnd"/>
            <w:r w:rsidRPr="005C7737">
              <w:rPr>
                <w:rFonts w:ascii="Times New Roman" w:hAnsi="Times New Roman"/>
                <w:sz w:val="20"/>
                <w:szCs w:val="20"/>
              </w:rPr>
              <w:t xml:space="preserve"> facilities</w:t>
            </w:r>
          </w:p>
        </w:tc>
        <w:tc>
          <w:tcPr>
            <w:tcW w:w="262" w:type="dxa"/>
            <w:tcBorders>
              <w:top w:val="nil"/>
              <w:left w:val="nil"/>
              <w:bottom w:val="single" w:sz="4" w:space="0" w:color="auto"/>
              <w:right w:val="single" w:sz="4" w:space="0" w:color="auto"/>
            </w:tcBorders>
            <w:shd w:val="clear" w:color="auto" w:fill="DBE5F1"/>
          </w:tcPr>
          <w:p w14:paraId="64561801" w14:textId="77777777" w:rsidR="00A0075F" w:rsidRPr="005C7737" w:rsidRDefault="00A0075F" w:rsidP="003C5527">
            <w:pPr>
              <w:jc w:val="both"/>
              <w:rPr>
                <w:rFonts w:ascii="Times New Roman" w:hAnsi="Times New Roman"/>
                <w:sz w:val="20"/>
                <w:szCs w:val="20"/>
              </w:rPr>
            </w:pPr>
            <w:r w:rsidRPr="005C7737">
              <w:rPr>
                <w:rFonts w:ascii="Times New Roman" w:hAnsi="Times New Roman"/>
                <w:sz w:val="20"/>
                <w:szCs w:val="20"/>
              </w:rPr>
              <w:tab/>
            </w:r>
          </w:p>
          <w:p w14:paraId="55E3C95C" w14:textId="77777777" w:rsidR="00A0075F" w:rsidRPr="005C7737" w:rsidRDefault="00A0075F" w:rsidP="003C5527">
            <w:pPr>
              <w:jc w:val="both"/>
              <w:rPr>
                <w:rFonts w:ascii="Times New Roman" w:hAnsi="Times New Roman"/>
                <w:sz w:val="20"/>
                <w:szCs w:val="20"/>
              </w:rPr>
            </w:pPr>
          </w:p>
        </w:tc>
      </w:tr>
    </w:tbl>
    <w:p w14:paraId="7C674AA9" w14:textId="77777777" w:rsidR="00A0075F" w:rsidRPr="005C7737" w:rsidRDefault="00A0075F" w:rsidP="00A0075F">
      <w:pPr>
        <w:jc w:val="both"/>
        <w:rPr>
          <w:rFonts w:ascii="Times New Roman" w:hAnsi="Times New Roman"/>
          <w:sz w:val="20"/>
          <w:szCs w:val="20"/>
        </w:rPr>
      </w:pPr>
    </w:p>
    <w:p w14:paraId="21A8330D" w14:textId="77777777" w:rsidR="00A0075F" w:rsidRPr="005C7737" w:rsidRDefault="00A0075F" w:rsidP="00A0075F">
      <w:pPr>
        <w:jc w:val="both"/>
        <w:rPr>
          <w:rFonts w:ascii="Times New Roman" w:hAnsi="Times New Roman"/>
          <w:sz w:val="20"/>
          <w:szCs w:val="20"/>
        </w:rPr>
      </w:pPr>
    </w:p>
    <w:p w14:paraId="4CBB44BA" w14:textId="77777777" w:rsidR="00A0075F" w:rsidRPr="005C7737" w:rsidRDefault="00A0075F" w:rsidP="00A0075F">
      <w:pPr>
        <w:jc w:val="both"/>
        <w:rPr>
          <w:rFonts w:ascii="Times New Roman" w:hAnsi="Times New Roman"/>
          <w:sz w:val="20"/>
          <w:szCs w:val="20"/>
        </w:rPr>
      </w:pPr>
    </w:p>
    <w:p w14:paraId="76AF3AA4" w14:textId="20A94D76" w:rsidR="00581431" w:rsidRDefault="00581431" w:rsidP="00264F3F">
      <w:pPr>
        <w:jc w:val="both"/>
        <w:rPr>
          <w:rFonts w:ascii="Times New Roman" w:hAnsi="Times New Roman"/>
          <w:sz w:val="24"/>
          <w:szCs w:val="24"/>
        </w:rPr>
      </w:pPr>
    </w:p>
    <w:p w14:paraId="11500449" w14:textId="77777777" w:rsidR="00A0075F" w:rsidRDefault="00A0075F" w:rsidP="00264F3F">
      <w:pPr>
        <w:jc w:val="both"/>
        <w:rPr>
          <w:rFonts w:ascii="Times New Roman" w:hAnsi="Times New Roman"/>
          <w:sz w:val="24"/>
          <w:szCs w:val="24"/>
        </w:rPr>
      </w:pPr>
    </w:p>
    <w:p w14:paraId="39A1CA62" w14:textId="77777777" w:rsidR="00A0075F" w:rsidRDefault="00A0075F" w:rsidP="00264F3F">
      <w:pPr>
        <w:jc w:val="both"/>
        <w:rPr>
          <w:rFonts w:ascii="Times New Roman" w:hAnsi="Times New Roman"/>
          <w:sz w:val="24"/>
          <w:szCs w:val="24"/>
        </w:rPr>
        <w:sectPr w:rsidR="00A0075F" w:rsidSect="00A0075F">
          <w:pgSz w:w="16820" w:h="11900" w:orient="landscape"/>
          <w:pgMar w:top="1268" w:right="851" w:bottom="1474" w:left="1474" w:header="709" w:footer="709" w:gutter="0"/>
          <w:cols w:space="708"/>
          <w:titlePg/>
          <w:docGrid w:linePitch="360"/>
        </w:sectPr>
      </w:pPr>
    </w:p>
    <w:p w14:paraId="3B698F3A" w14:textId="19071DD4" w:rsidR="00581431" w:rsidRPr="00264F3F" w:rsidRDefault="00581431" w:rsidP="00264F3F">
      <w:pPr>
        <w:jc w:val="both"/>
        <w:rPr>
          <w:rFonts w:ascii="Times New Roman" w:hAnsi="Times New Roman"/>
          <w:sz w:val="24"/>
          <w:szCs w:val="24"/>
        </w:rPr>
      </w:pPr>
      <w:r w:rsidRPr="00264F3F">
        <w:rPr>
          <w:rFonts w:ascii="Times New Roman" w:hAnsi="Times New Roman"/>
          <w:sz w:val="24"/>
          <w:szCs w:val="24"/>
        </w:rPr>
        <w:t>There were various dissatisfactions across the Commonwealth with the international architecture that emerged from the Worl</w:t>
      </w:r>
      <w:r w:rsidR="006608CB">
        <w:rPr>
          <w:rFonts w:ascii="Times New Roman" w:hAnsi="Times New Roman"/>
          <w:sz w:val="24"/>
          <w:szCs w:val="24"/>
        </w:rPr>
        <w:t>d Education Forum in Dakar</w:t>
      </w:r>
      <w:r w:rsidR="00D4141F">
        <w:rPr>
          <w:rFonts w:ascii="Times New Roman" w:hAnsi="Times New Roman"/>
          <w:sz w:val="24"/>
          <w:szCs w:val="24"/>
        </w:rPr>
        <w:t xml:space="preserve"> in 2000</w:t>
      </w:r>
      <w:r w:rsidR="00A0075F">
        <w:rPr>
          <w:rStyle w:val="FootnoteReference"/>
          <w:rFonts w:ascii="Times New Roman" w:hAnsi="Times New Roman"/>
          <w:sz w:val="24"/>
          <w:szCs w:val="24"/>
        </w:rPr>
        <w:footnoteReference w:id="3"/>
      </w:r>
      <w:r w:rsidR="00D4141F">
        <w:rPr>
          <w:rFonts w:ascii="Times New Roman" w:hAnsi="Times New Roman"/>
          <w:sz w:val="24"/>
          <w:szCs w:val="24"/>
        </w:rPr>
        <w:t xml:space="preserve"> and the Mill</w:t>
      </w:r>
      <w:r w:rsidRPr="00264F3F">
        <w:rPr>
          <w:rFonts w:ascii="Times New Roman" w:hAnsi="Times New Roman"/>
          <w:sz w:val="24"/>
          <w:szCs w:val="24"/>
        </w:rPr>
        <w:t>en</w:t>
      </w:r>
      <w:r w:rsidR="00D4141F">
        <w:rPr>
          <w:rFonts w:ascii="Times New Roman" w:hAnsi="Times New Roman"/>
          <w:sz w:val="24"/>
          <w:szCs w:val="24"/>
        </w:rPr>
        <w:t>n</w:t>
      </w:r>
      <w:r w:rsidRPr="00264F3F">
        <w:rPr>
          <w:rFonts w:ascii="Times New Roman" w:hAnsi="Times New Roman"/>
          <w:sz w:val="24"/>
          <w:szCs w:val="24"/>
        </w:rPr>
        <w:t>ium Development Goals (MDGs)</w:t>
      </w:r>
      <w:r w:rsidR="00A0075F">
        <w:rPr>
          <w:rStyle w:val="FootnoteReference"/>
          <w:rFonts w:ascii="Times New Roman" w:hAnsi="Times New Roman"/>
          <w:sz w:val="24"/>
          <w:szCs w:val="24"/>
        </w:rPr>
        <w:footnoteReference w:id="4"/>
      </w:r>
      <w:r w:rsidRPr="00264F3F">
        <w:rPr>
          <w:rFonts w:ascii="Times New Roman" w:hAnsi="Times New Roman"/>
          <w:sz w:val="24"/>
          <w:szCs w:val="24"/>
        </w:rPr>
        <w:t xml:space="preserve"> adopted by the U.N. in 2000. These were captured in a plenary address to the 18th CCEM in Mauritius (Lewin 2012). In sum it was felt that:</w:t>
      </w:r>
    </w:p>
    <w:p w14:paraId="5BA88267" w14:textId="77777777" w:rsidR="00581431" w:rsidRPr="00264F3F" w:rsidRDefault="00581431" w:rsidP="00264F3F">
      <w:pPr>
        <w:jc w:val="both"/>
        <w:rPr>
          <w:rFonts w:ascii="Times New Roman" w:hAnsi="Times New Roman"/>
          <w:sz w:val="24"/>
          <w:szCs w:val="24"/>
        </w:rPr>
      </w:pPr>
    </w:p>
    <w:p w14:paraId="6A9F9D8E" w14:textId="5E11466D" w:rsidR="00581431" w:rsidRPr="006608CB" w:rsidRDefault="00581431" w:rsidP="006608CB">
      <w:pPr>
        <w:pStyle w:val="ListParagraph"/>
        <w:numPr>
          <w:ilvl w:val="0"/>
          <w:numId w:val="10"/>
        </w:numPr>
        <w:jc w:val="both"/>
        <w:rPr>
          <w:rFonts w:ascii="Times New Roman" w:hAnsi="Times New Roman"/>
          <w:sz w:val="24"/>
          <w:szCs w:val="24"/>
        </w:rPr>
      </w:pPr>
      <w:r w:rsidRPr="006608CB">
        <w:rPr>
          <w:rFonts w:ascii="Times New Roman" w:hAnsi="Times New Roman"/>
          <w:sz w:val="24"/>
          <w:szCs w:val="24"/>
        </w:rPr>
        <w:t>Patterns of investment by development partners had become heavily skewed towards increasing access to basic education in general and primary education in particular. This reflected the priorities of some Commonwealth member states (CMS) but not many</w:t>
      </w:r>
      <w:r w:rsidR="00070E6D">
        <w:rPr>
          <w:rFonts w:ascii="Times New Roman" w:hAnsi="Times New Roman"/>
          <w:sz w:val="24"/>
          <w:szCs w:val="24"/>
        </w:rPr>
        <w:t xml:space="preserve"> others. B</w:t>
      </w:r>
      <w:r w:rsidR="00070E6D" w:rsidRPr="006608CB">
        <w:rPr>
          <w:rFonts w:ascii="Times New Roman" w:hAnsi="Times New Roman"/>
          <w:sz w:val="24"/>
          <w:szCs w:val="24"/>
        </w:rPr>
        <w:t>asic education was of</w:t>
      </w:r>
      <w:r w:rsidR="00070E6D">
        <w:rPr>
          <w:rFonts w:ascii="Times New Roman" w:hAnsi="Times New Roman"/>
          <w:sz w:val="24"/>
          <w:szCs w:val="24"/>
        </w:rPr>
        <w:t>ten privileged for investment d</w:t>
      </w:r>
      <w:r w:rsidR="00DF28C9">
        <w:rPr>
          <w:rFonts w:ascii="Times New Roman" w:hAnsi="Times New Roman"/>
          <w:sz w:val="24"/>
          <w:szCs w:val="24"/>
        </w:rPr>
        <w:t xml:space="preserve">espite the fact that some </w:t>
      </w:r>
      <w:r w:rsidR="0069339D">
        <w:rPr>
          <w:rFonts w:ascii="Times New Roman" w:hAnsi="Times New Roman"/>
          <w:sz w:val="24"/>
          <w:szCs w:val="24"/>
        </w:rPr>
        <w:t>post-</w:t>
      </w:r>
      <w:r w:rsidRPr="006608CB">
        <w:rPr>
          <w:rFonts w:ascii="Times New Roman" w:hAnsi="Times New Roman"/>
          <w:sz w:val="24"/>
          <w:szCs w:val="24"/>
        </w:rPr>
        <w:t>co</w:t>
      </w:r>
      <w:r w:rsidR="00070E6D">
        <w:rPr>
          <w:rFonts w:ascii="Times New Roman" w:hAnsi="Times New Roman"/>
          <w:sz w:val="24"/>
          <w:szCs w:val="24"/>
        </w:rPr>
        <w:t xml:space="preserve">nflict and fragile states </w:t>
      </w:r>
      <w:r w:rsidRPr="006608CB">
        <w:rPr>
          <w:rFonts w:ascii="Times New Roman" w:hAnsi="Times New Roman"/>
          <w:sz w:val="24"/>
          <w:szCs w:val="24"/>
        </w:rPr>
        <w:t>need</w:t>
      </w:r>
      <w:r w:rsidR="00070E6D">
        <w:rPr>
          <w:rFonts w:ascii="Times New Roman" w:hAnsi="Times New Roman"/>
          <w:sz w:val="24"/>
          <w:szCs w:val="24"/>
        </w:rPr>
        <w:t>ed</w:t>
      </w:r>
      <w:r w:rsidRPr="006608CB">
        <w:rPr>
          <w:rFonts w:ascii="Times New Roman" w:hAnsi="Times New Roman"/>
          <w:sz w:val="24"/>
          <w:szCs w:val="24"/>
        </w:rPr>
        <w:t xml:space="preserve"> to rebuild their cadre of middle and </w:t>
      </w:r>
      <w:proofErr w:type="gramStart"/>
      <w:r w:rsidRPr="006608CB">
        <w:rPr>
          <w:rFonts w:ascii="Times New Roman" w:hAnsi="Times New Roman"/>
          <w:sz w:val="24"/>
          <w:szCs w:val="24"/>
        </w:rPr>
        <w:t>high level</w:t>
      </w:r>
      <w:proofErr w:type="gramEnd"/>
      <w:r w:rsidRPr="006608CB">
        <w:rPr>
          <w:rFonts w:ascii="Times New Roman" w:hAnsi="Times New Roman"/>
          <w:sz w:val="24"/>
          <w:szCs w:val="24"/>
        </w:rPr>
        <w:t xml:space="preserve"> officers and employees to manage reconstruction</w:t>
      </w:r>
      <w:r w:rsidR="00070E6D">
        <w:rPr>
          <w:rFonts w:ascii="Times New Roman" w:hAnsi="Times New Roman"/>
          <w:sz w:val="24"/>
          <w:szCs w:val="24"/>
        </w:rPr>
        <w:t xml:space="preserve">. </w:t>
      </w:r>
      <w:r w:rsidR="00070E6D" w:rsidRPr="006608CB">
        <w:rPr>
          <w:rFonts w:ascii="Times New Roman" w:hAnsi="Times New Roman"/>
          <w:sz w:val="24"/>
          <w:szCs w:val="24"/>
        </w:rPr>
        <w:t>Though improved quality was explicitly included in the Dakar Targets</w:t>
      </w:r>
      <w:r w:rsidR="00070E6D">
        <w:rPr>
          <w:rFonts w:ascii="Times New Roman" w:hAnsi="Times New Roman"/>
          <w:sz w:val="24"/>
          <w:szCs w:val="24"/>
        </w:rPr>
        <w:t xml:space="preserve"> (DTs)</w:t>
      </w:r>
      <w:r w:rsidR="00070E6D" w:rsidRPr="006608CB">
        <w:rPr>
          <w:rFonts w:ascii="Times New Roman" w:hAnsi="Times New Roman"/>
          <w:sz w:val="24"/>
          <w:szCs w:val="24"/>
        </w:rPr>
        <w:t xml:space="preserve">, as it had been in the earlier </w:t>
      </w:r>
      <w:r w:rsidR="00070E6D" w:rsidRPr="00DF28C9">
        <w:rPr>
          <w:rFonts w:ascii="Times New Roman" w:hAnsi="Times New Roman"/>
          <w:i/>
          <w:sz w:val="24"/>
          <w:szCs w:val="24"/>
        </w:rPr>
        <w:t>World Declaration on Education for All and Framework for Action to Meet Basic L</w:t>
      </w:r>
      <w:r w:rsidR="00070E6D">
        <w:rPr>
          <w:rFonts w:ascii="Times New Roman" w:hAnsi="Times New Roman"/>
          <w:i/>
          <w:sz w:val="24"/>
          <w:szCs w:val="24"/>
        </w:rPr>
        <w:t>earning Needs</w:t>
      </w:r>
      <w:r w:rsidR="00070E6D" w:rsidRPr="00DF28C9">
        <w:rPr>
          <w:rFonts w:ascii="Times New Roman" w:hAnsi="Times New Roman"/>
          <w:i/>
          <w:sz w:val="24"/>
          <w:szCs w:val="24"/>
        </w:rPr>
        <w:t xml:space="preserve"> </w:t>
      </w:r>
      <w:r w:rsidR="00070E6D">
        <w:rPr>
          <w:rFonts w:ascii="Times New Roman" w:hAnsi="Times New Roman"/>
          <w:sz w:val="24"/>
          <w:szCs w:val="24"/>
        </w:rPr>
        <w:t>in 1990, the reality was</w:t>
      </w:r>
      <w:r w:rsidR="00070E6D" w:rsidRPr="006608CB">
        <w:rPr>
          <w:rFonts w:ascii="Times New Roman" w:hAnsi="Times New Roman"/>
          <w:sz w:val="24"/>
          <w:szCs w:val="24"/>
        </w:rPr>
        <w:t xml:space="preserve"> to privilege enhanced access over improved quality and learning outcomes.</w:t>
      </w:r>
    </w:p>
    <w:p w14:paraId="086C3F42" w14:textId="777A31BE" w:rsidR="00581431" w:rsidRPr="00264F3F" w:rsidRDefault="00DF28C9" w:rsidP="00264F3F">
      <w:pPr>
        <w:jc w:val="both"/>
        <w:rPr>
          <w:rFonts w:ascii="Times New Roman" w:hAnsi="Times New Roman"/>
          <w:sz w:val="24"/>
          <w:szCs w:val="24"/>
        </w:rPr>
      </w:pPr>
      <w:r>
        <w:rPr>
          <w:rFonts w:ascii="Times New Roman" w:hAnsi="Times New Roman"/>
          <w:sz w:val="24"/>
          <w:szCs w:val="24"/>
        </w:rPr>
        <w:t xml:space="preserve"> </w:t>
      </w:r>
    </w:p>
    <w:p w14:paraId="3BC38551" w14:textId="4B050A95" w:rsidR="00581431" w:rsidRPr="006608CB" w:rsidRDefault="0069339D" w:rsidP="006608CB">
      <w:pPr>
        <w:pStyle w:val="ListParagraph"/>
        <w:numPr>
          <w:ilvl w:val="0"/>
          <w:numId w:val="10"/>
        </w:numPr>
        <w:jc w:val="both"/>
        <w:rPr>
          <w:rFonts w:ascii="Times New Roman" w:hAnsi="Times New Roman"/>
          <w:sz w:val="24"/>
          <w:szCs w:val="24"/>
        </w:rPr>
      </w:pPr>
      <w:r>
        <w:rPr>
          <w:rFonts w:ascii="Times New Roman" w:hAnsi="Times New Roman"/>
          <w:sz w:val="24"/>
          <w:szCs w:val="24"/>
        </w:rPr>
        <w:t>The approach adopted by the UN</w:t>
      </w:r>
      <w:r w:rsidR="00581431" w:rsidRPr="006608CB">
        <w:rPr>
          <w:rFonts w:ascii="Times New Roman" w:hAnsi="Times New Roman"/>
          <w:sz w:val="24"/>
          <w:szCs w:val="24"/>
        </w:rPr>
        <w:t xml:space="preserve"> failed to differentiate between countries in terms of starting points and was largely blind to aspirations that fell outside the “Washington consensus” of what needed to be done. The goals and targets de facto were intended to apply most </w:t>
      </w:r>
      <w:r w:rsidR="001D4BC5">
        <w:rPr>
          <w:rFonts w:ascii="Times New Roman" w:hAnsi="Times New Roman"/>
          <w:sz w:val="24"/>
          <w:szCs w:val="24"/>
        </w:rPr>
        <w:t xml:space="preserve">to LICs and LMICs </w:t>
      </w:r>
      <w:r w:rsidR="00581431" w:rsidRPr="006608CB">
        <w:rPr>
          <w:rFonts w:ascii="Times New Roman" w:hAnsi="Times New Roman"/>
          <w:sz w:val="24"/>
          <w:szCs w:val="24"/>
        </w:rPr>
        <w:t xml:space="preserve">in need of development assistance. </w:t>
      </w:r>
      <w:r>
        <w:rPr>
          <w:rFonts w:ascii="Times New Roman" w:hAnsi="Times New Roman"/>
          <w:sz w:val="24"/>
          <w:szCs w:val="24"/>
        </w:rPr>
        <w:t>De jure they applied to all UN</w:t>
      </w:r>
      <w:r w:rsidR="00581431" w:rsidRPr="006608CB">
        <w:rPr>
          <w:rFonts w:ascii="Times New Roman" w:hAnsi="Times New Roman"/>
          <w:sz w:val="24"/>
          <w:szCs w:val="24"/>
        </w:rPr>
        <w:t xml:space="preserve"> member states though the OECD </w:t>
      </w:r>
      <w:r w:rsidR="00DF28C9">
        <w:rPr>
          <w:rFonts w:ascii="Times New Roman" w:hAnsi="Times New Roman"/>
          <w:sz w:val="24"/>
          <w:szCs w:val="24"/>
        </w:rPr>
        <w:t xml:space="preserve">member countries </w:t>
      </w:r>
      <w:r w:rsidR="00581431" w:rsidRPr="006608CB">
        <w:rPr>
          <w:rFonts w:ascii="Times New Roman" w:hAnsi="Times New Roman"/>
          <w:sz w:val="24"/>
          <w:szCs w:val="24"/>
        </w:rPr>
        <w:t xml:space="preserve">mostly assumed that they </w:t>
      </w:r>
      <w:r w:rsidR="00B02578">
        <w:rPr>
          <w:rFonts w:ascii="Times New Roman" w:hAnsi="Times New Roman"/>
          <w:sz w:val="24"/>
          <w:szCs w:val="24"/>
        </w:rPr>
        <w:t xml:space="preserve">themselves </w:t>
      </w:r>
      <w:r w:rsidR="00581431" w:rsidRPr="006608CB">
        <w:rPr>
          <w:rFonts w:ascii="Times New Roman" w:hAnsi="Times New Roman"/>
          <w:sz w:val="24"/>
          <w:szCs w:val="24"/>
        </w:rPr>
        <w:t xml:space="preserve">had already met any educational target of value.   </w:t>
      </w:r>
    </w:p>
    <w:p w14:paraId="747EAD44" w14:textId="77777777" w:rsidR="00581431" w:rsidRPr="00264F3F" w:rsidRDefault="00581431" w:rsidP="00264F3F">
      <w:pPr>
        <w:jc w:val="both"/>
        <w:rPr>
          <w:rFonts w:ascii="Times New Roman" w:hAnsi="Times New Roman"/>
          <w:sz w:val="24"/>
          <w:szCs w:val="24"/>
        </w:rPr>
      </w:pPr>
    </w:p>
    <w:p w14:paraId="3AC9EFE8" w14:textId="1FB905D2" w:rsidR="00581431" w:rsidRPr="006608CB" w:rsidRDefault="00070E6D" w:rsidP="006608CB">
      <w:pPr>
        <w:pStyle w:val="ListParagraph"/>
        <w:numPr>
          <w:ilvl w:val="0"/>
          <w:numId w:val="10"/>
        </w:numPr>
        <w:jc w:val="both"/>
        <w:rPr>
          <w:rFonts w:ascii="Times New Roman" w:hAnsi="Times New Roman"/>
          <w:sz w:val="24"/>
          <w:szCs w:val="24"/>
        </w:rPr>
      </w:pPr>
      <w:r>
        <w:rPr>
          <w:rFonts w:ascii="Times New Roman" w:hAnsi="Times New Roman"/>
          <w:sz w:val="24"/>
          <w:szCs w:val="24"/>
        </w:rPr>
        <w:t>T</w:t>
      </w:r>
      <w:r w:rsidR="00581431" w:rsidRPr="006608CB">
        <w:rPr>
          <w:rFonts w:ascii="Times New Roman" w:hAnsi="Times New Roman"/>
          <w:sz w:val="24"/>
          <w:szCs w:val="24"/>
        </w:rPr>
        <w:t xml:space="preserve">hough equity was stressed in the EFA rhetoric very little </w:t>
      </w:r>
      <w:r w:rsidR="0069339D">
        <w:rPr>
          <w:rFonts w:ascii="Times New Roman" w:hAnsi="Times New Roman"/>
          <w:sz w:val="24"/>
          <w:szCs w:val="24"/>
        </w:rPr>
        <w:t xml:space="preserve">was </w:t>
      </w:r>
      <w:r w:rsidR="00581431" w:rsidRPr="006608CB">
        <w:rPr>
          <w:rFonts w:ascii="Times New Roman" w:hAnsi="Times New Roman"/>
          <w:sz w:val="24"/>
          <w:szCs w:val="24"/>
        </w:rPr>
        <w:t>enacted that would enhance equity</w:t>
      </w:r>
      <w:r w:rsidR="0069339D">
        <w:rPr>
          <w:rFonts w:ascii="Times New Roman" w:hAnsi="Times New Roman"/>
          <w:sz w:val="24"/>
          <w:szCs w:val="24"/>
        </w:rPr>
        <w:t>.</w:t>
      </w:r>
      <w:r w:rsidR="00581431" w:rsidRPr="006608CB">
        <w:rPr>
          <w:rFonts w:ascii="Times New Roman" w:hAnsi="Times New Roman"/>
          <w:sz w:val="24"/>
          <w:szCs w:val="24"/>
        </w:rPr>
        <w:t xml:space="preserve"> By 2015 the chances of those from the lowest </w:t>
      </w:r>
      <w:proofErr w:type="spellStart"/>
      <w:r w:rsidR="00581431" w:rsidRPr="006608CB">
        <w:rPr>
          <w:rFonts w:ascii="Times New Roman" w:hAnsi="Times New Roman"/>
          <w:sz w:val="24"/>
          <w:szCs w:val="24"/>
        </w:rPr>
        <w:t>decile</w:t>
      </w:r>
      <w:proofErr w:type="spellEnd"/>
      <w:r w:rsidR="00581431" w:rsidRPr="006608CB">
        <w:rPr>
          <w:rFonts w:ascii="Times New Roman" w:hAnsi="Times New Roman"/>
          <w:sz w:val="24"/>
          <w:szCs w:val="24"/>
        </w:rPr>
        <w:t xml:space="preserve"> of household income of completing secondary school were often one fifth and sometimes less than one tenth of those in the richest </w:t>
      </w:r>
      <w:proofErr w:type="spellStart"/>
      <w:r w:rsidR="00DF28C9">
        <w:rPr>
          <w:rFonts w:ascii="Times New Roman" w:hAnsi="Times New Roman"/>
          <w:sz w:val="24"/>
          <w:szCs w:val="24"/>
        </w:rPr>
        <w:t>decile</w:t>
      </w:r>
      <w:proofErr w:type="spellEnd"/>
      <w:r w:rsidR="00581431" w:rsidRPr="006608CB">
        <w:rPr>
          <w:rFonts w:ascii="Times New Roman" w:hAnsi="Times New Roman"/>
          <w:sz w:val="24"/>
          <w:szCs w:val="24"/>
        </w:rPr>
        <w:t xml:space="preserve">. There was also evidence that expanded enrolment in post basic education had mainly benefitted those in the middle of the income distribution not the poorest.  </w:t>
      </w:r>
    </w:p>
    <w:p w14:paraId="65A3F6EB" w14:textId="77777777" w:rsidR="00581431" w:rsidRPr="00264F3F" w:rsidRDefault="00581431" w:rsidP="00264F3F">
      <w:pPr>
        <w:jc w:val="both"/>
        <w:rPr>
          <w:rFonts w:ascii="Times New Roman" w:hAnsi="Times New Roman"/>
          <w:sz w:val="24"/>
          <w:szCs w:val="24"/>
        </w:rPr>
      </w:pPr>
    </w:p>
    <w:p w14:paraId="3E25DB48" w14:textId="0817B6BD" w:rsidR="00070E6D" w:rsidRDefault="00581431" w:rsidP="00E02709">
      <w:pPr>
        <w:pStyle w:val="ListParagraph"/>
        <w:numPr>
          <w:ilvl w:val="0"/>
          <w:numId w:val="10"/>
        </w:numPr>
        <w:jc w:val="both"/>
        <w:rPr>
          <w:rFonts w:ascii="Times New Roman" w:hAnsi="Times New Roman"/>
          <w:sz w:val="24"/>
          <w:szCs w:val="24"/>
        </w:rPr>
      </w:pPr>
      <w:r w:rsidRPr="00070E6D">
        <w:rPr>
          <w:rFonts w:ascii="Times New Roman" w:hAnsi="Times New Roman"/>
          <w:sz w:val="24"/>
          <w:szCs w:val="24"/>
        </w:rPr>
        <w:t xml:space="preserve">Investment in educational infrastructure lagged </w:t>
      </w:r>
      <w:r w:rsidR="00DF28C9" w:rsidRPr="00070E6D">
        <w:rPr>
          <w:rFonts w:ascii="Times New Roman" w:hAnsi="Times New Roman"/>
          <w:sz w:val="24"/>
          <w:szCs w:val="24"/>
        </w:rPr>
        <w:t xml:space="preserve">behind </w:t>
      </w:r>
      <w:r w:rsidRPr="00070E6D">
        <w:rPr>
          <w:rFonts w:ascii="Times New Roman" w:hAnsi="Times New Roman"/>
          <w:sz w:val="24"/>
          <w:szCs w:val="24"/>
        </w:rPr>
        <w:t>enrolment expansion as did provision of le</w:t>
      </w:r>
      <w:r w:rsidR="003D6CC1">
        <w:rPr>
          <w:rFonts w:ascii="Times New Roman" w:hAnsi="Times New Roman"/>
          <w:sz w:val="24"/>
          <w:szCs w:val="24"/>
        </w:rPr>
        <w:t>arning materials including text</w:t>
      </w:r>
      <w:r w:rsidRPr="00070E6D">
        <w:rPr>
          <w:rFonts w:ascii="Times New Roman" w:hAnsi="Times New Roman"/>
          <w:sz w:val="24"/>
          <w:szCs w:val="24"/>
        </w:rPr>
        <w:t xml:space="preserve">books. Paperless schools remained common in the poorest CMSs not because of the </w:t>
      </w:r>
      <w:proofErr w:type="gramStart"/>
      <w:r w:rsidRPr="00070E6D">
        <w:rPr>
          <w:rFonts w:ascii="Times New Roman" w:hAnsi="Times New Roman"/>
          <w:sz w:val="24"/>
          <w:szCs w:val="24"/>
        </w:rPr>
        <w:t>internet</w:t>
      </w:r>
      <w:proofErr w:type="gramEnd"/>
      <w:r w:rsidRPr="00070E6D">
        <w:rPr>
          <w:rFonts w:ascii="Times New Roman" w:hAnsi="Times New Roman"/>
          <w:sz w:val="24"/>
          <w:szCs w:val="24"/>
        </w:rPr>
        <w:t xml:space="preserve"> and </w:t>
      </w:r>
      <w:r w:rsidR="00DF28C9" w:rsidRPr="00070E6D">
        <w:rPr>
          <w:rFonts w:ascii="Times New Roman" w:hAnsi="Times New Roman"/>
          <w:sz w:val="24"/>
          <w:szCs w:val="24"/>
        </w:rPr>
        <w:t xml:space="preserve">applications of </w:t>
      </w:r>
      <w:r w:rsidRPr="00070E6D">
        <w:rPr>
          <w:rFonts w:ascii="Times New Roman" w:hAnsi="Times New Roman"/>
          <w:sz w:val="24"/>
          <w:szCs w:val="24"/>
        </w:rPr>
        <w:t>information technology but because there really was no paper and no</w:t>
      </w:r>
      <w:r w:rsidR="00DF28C9" w:rsidRPr="00070E6D">
        <w:rPr>
          <w:rFonts w:ascii="Times New Roman" w:hAnsi="Times New Roman"/>
          <w:sz w:val="24"/>
          <w:szCs w:val="24"/>
        </w:rPr>
        <w:t xml:space="preserve"> means</w:t>
      </w:r>
      <w:r w:rsidRPr="00070E6D">
        <w:rPr>
          <w:rFonts w:ascii="Times New Roman" w:hAnsi="Times New Roman"/>
          <w:sz w:val="24"/>
          <w:szCs w:val="24"/>
        </w:rPr>
        <w:t xml:space="preserve"> </w:t>
      </w:r>
      <w:r w:rsidR="00070E6D" w:rsidRPr="00070E6D">
        <w:rPr>
          <w:rFonts w:ascii="Times New Roman" w:hAnsi="Times New Roman"/>
          <w:sz w:val="24"/>
          <w:szCs w:val="24"/>
        </w:rPr>
        <w:t>to buy it.</w:t>
      </w:r>
    </w:p>
    <w:p w14:paraId="14F0BA04" w14:textId="77777777" w:rsidR="00070E6D" w:rsidRPr="00070E6D" w:rsidRDefault="00070E6D" w:rsidP="00070E6D">
      <w:pPr>
        <w:jc w:val="both"/>
        <w:rPr>
          <w:rFonts w:ascii="Times New Roman" w:hAnsi="Times New Roman"/>
          <w:sz w:val="24"/>
          <w:szCs w:val="24"/>
        </w:rPr>
      </w:pPr>
    </w:p>
    <w:p w14:paraId="42B691D8" w14:textId="6E497F5D" w:rsidR="00070E6D" w:rsidRDefault="00581431" w:rsidP="00070E6D">
      <w:pPr>
        <w:pStyle w:val="ListParagraph"/>
        <w:numPr>
          <w:ilvl w:val="0"/>
          <w:numId w:val="10"/>
        </w:numPr>
        <w:jc w:val="both"/>
        <w:rPr>
          <w:rFonts w:ascii="Times New Roman" w:hAnsi="Times New Roman"/>
          <w:sz w:val="24"/>
          <w:szCs w:val="24"/>
        </w:rPr>
      </w:pPr>
      <w:r w:rsidRPr="00070E6D">
        <w:rPr>
          <w:rFonts w:ascii="Times New Roman" w:hAnsi="Times New Roman"/>
          <w:sz w:val="24"/>
          <w:szCs w:val="24"/>
        </w:rPr>
        <w:t>Many observers felt that part of the problem with the Dakar Targets (DTs) and the MDGs was that there was too much distance between the “target setters and the target getters”. Disembodied officials drafting goals and targets endorsed by politicians most of whom were not in office five years later presented a tough call for implementation with passion. Surprised target getters felt themselves signed up to aspirations that were sometimes impossible to realise</w:t>
      </w:r>
      <w:r w:rsidR="003D6CC1">
        <w:rPr>
          <w:rFonts w:ascii="Times New Roman" w:hAnsi="Times New Roman"/>
          <w:sz w:val="24"/>
          <w:szCs w:val="24"/>
        </w:rPr>
        <w:t xml:space="preserve">. </w:t>
      </w:r>
      <w:r w:rsidR="00DF28C9" w:rsidRPr="00070E6D">
        <w:rPr>
          <w:rFonts w:ascii="Times New Roman" w:hAnsi="Times New Roman"/>
          <w:sz w:val="24"/>
          <w:szCs w:val="24"/>
        </w:rPr>
        <w:t xml:space="preserve"> </w:t>
      </w:r>
    </w:p>
    <w:p w14:paraId="09B0DF95" w14:textId="77777777" w:rsidR="00070E6D" w:rsidRPr="00070E6D" w:rsidRDefault="00070E6D" w:rsidP="00070E6D">
      <w:pPr>
        <w:jc w:val="both"/>
        <w:rPr>
          <w:rFonts w:ascii="Times New Roman" w:hAnsi="Times New Roman"/>
          <w:sz w:val="24"/>
          <w:szCs w:val="24"/>
        </w:rPr>
      </w:pPr>
    </w:p>
    <w:p w14:paraId="40DA63FE" w14:textId="79D9EE57" w:rsidR="00642319" w:rsidRPr="003D6CC1" w:rsidRDefault="00581431" w:rsidP="00070E6D">
      <w:pPr>
        <w:pStyle w:val="ListParagraph"/>
        <w:numPr>
          <w:ilvl w:val="0"/>
          <w:numId w:val="10"/>
        </w:numPr>
        <w:jc w:val="both"/>
        <w:rPr>
          <w:rFonts w:ascii="Times New Roman" w:hAnsi="Times New Roman"/>
          <w:sz w:val="24"/>
          <w:szCs w:val="24"/>
        </w:rPr>
      </w:pPr>
      <w:r w:rsidRPr="003D6CC1">
        <w:rPr>
          <w:rFonts w:ascii="Times New Roman" w:hAnsi="Times New Roman"/>
          <w:sz w:val="24"/>
          <w:szCs w:val="24"/>
        </w:rPr>
        <w:t>Rights based approaches were beginning to be challenged and not only by the long march of neo-liberalism. Rights cannot be realised without the development of fiscal states that can afford to provide public goods like education and health from domestic revenue. The alterna</w:t>
      </w:r>
      <w:r w:rsidR="00E02709" w:rsidRPr="003D6CC1">
        <w:rPr>
          <w:rFonts w:ascii="Times New Roman" w:hAnsi="Times New Roman"/>
          <w:sz w:val="24"/>
          <w:szCs w:val="24"/>
        </w:rPr>
        <w:t>tive is aid dependence</w:t>
      </w:r>
      <w:r w:rsidRPr="003D6CC1">
        <w:rPr>
          <w:rFonts w:ascii="Times New Roman" w:hAnsi="Times New Roman"/>
          <w:sz w:val="24"/>
          <w:szCs w:val="24"/>
        </w:rPr>
        <w:t>.</w:t>
      </w:r>
      <w:r w:rsidR="003D6CC1">
        <w:rPr>
          <w:rFonts w:ascii="Times New Roman" w:hAnsi="Times New Roman"/>
          <w:sz w:val="24"/>
          <w:szCs w:val="24"/>
        </w:rPr>
        <w:t xml:space="preserve"> </w:t>
      </w:r>
      <w:r w:rsidR="00642319" w:rsidRPr="003D6CC1">
        <w:rPr>
          <w:rFonts w:ascii="Times New Roman" w:hAnsi="Times New Roman"/>
          <w:sz w:val="24"/>
          <w:szCs w:val="24"/>
        </w:rPr>
        <w:t>In some countries development happened an</w:t>
      </w:r>
      <w:r w:rsidR="00B02578" w:rsidRPr="003D6CC1">
        <w:rPr>
          <w:rFonts w:ascii="Times New Roman" w:hAnsi="Times New Roman"/>
          <w:sz w:val="24"/>
          <w:szCs w:val="24"/>
        </w:rPr>
        <w:t>d created fiscal states that could</w:t>
      </w:r>
      <w:r w:rsidR="00642319" w:rsidRPr="003D6CC1">
        <w:rPr>
          <w:rFonts w:ascii="Times New Roman" w:hAnsi="Times New Roman"/>
          <w:sz w:val="24"/>
          <w:szCs w:val="24"/>
        </w:rPr>
        <w:t xml:space="preserve"> finance the</w:t>
      </w:r>
      <w:r w:rsidR="00B02578" w:rsidRPr="003D6CC1">
        <w:rPr>
          <w:rFonts w:ascii="Times New Roman" w:hAnsi="Times New Roman"/>
          <w:sz w:val="24"/>
          <w:szCs w:val="24"/>
        </w:rPr>
        <w:t xml:space="preserve">ir </w:t>
      </w:r>
      <w:r w:rsidR="00642319" w:rsidRPr="003D6CC1">
        <w:rPr>
          <w:rFonts w:ascii="Times New Roman" w:hAnsi="Times New Roman"/>
          <w:sz w:val="24"/>
          <w:szCs w:val="24"/>
        </w:rPr>
        <w:t>education sys</w:t>
      </w:r>
      <w:r w:rsidR="00B02578" w:rsidRPr="003D6CC1">
        <w:rPr>
          <w:rFonts w:ascii="Times New Roman" w:hAnsi="Times New Roman"/>
          <w:sz w:val="24"/>
          <w:szCs w:val="24"/>
        </w:rPr>
        <w:t xml:space="preserve">tems. </w:t>
      </w:r>
      <w:r w:rsidR="00642319" w:rsidRPr="003D6CC1">
        <w:rPr>
          <w:rFonts w:ascii="Times New Roman" w:hAnsi="Times New Roman"/>
          <w:sz w:val="24"/>
          <w:szCs w:val="24"/>
        </w:rPr>
        <w:t xml:space="preserve">India now does not seek grant aid and proudly announced recently that it gave three times as much aid as it received. </w:t>
      </w:r>
      <w:r w:rsidR="00264F3F" w:rsidRPr="003D6CC1">
        <w:rPr>
          <w:rFonts w:ascii="Times New Roman" w:hAnsi="Times New Roman"/>
          <w:sz w:val="24"/>
          <w:szCs w:val="24"/>
        </w:rPr>
        <w:t>By contrast aid still provides more than a third of government income in CMS LICs. New approaches were needed that could support fiscal reform and sol</w:t>
      </w:r>
      <w:r w:rsidR="00B02578" w:rsidRPr="003D6CC1">
        <w:rPr>
          <w:rFonts w:ascii="Times New Roman" w:hAnsi="Times New Roman"/>
          <w:sz w:val="24"/>
          <w:szCs w:val="24"/>
        </w:rPr>
        <w:t>v</w:t>
      </w:r>
      <w:r w:rsidR="00264F3F" w:rsidRPr="003D6CC1">
        <w:rPr>
          <w:rFonts w:ascii="Times New Roman" w:hAnsi="Times New Roman"/>
          <w:sz w:val="24"/>
          <w:szCs w:val="24"/>
        </w:rPr>
        <w:t xml:space="preserve">e the problem of financing mass education systems without dependence on aid.   </w:t>
      </w:r>
      <w:r w:rsidR="00642319" w:rsidRPr="003D6CC1">
        <w:rPr>
          <w:rFonts w:ascii="Times New Roman" w:hAnsi="Times New Roman"/>
          <w:sz w:val="24"/>
          <w:szCs w:val="24"/>
        </w:rPr>
        <w:t xml:space="preserve">    </w:t>
      </w:r>
    </w:p>
    <w:p w14:paraId="36DA4273" w14:textId="77777777" w:rsidR="00581431" w:rsidRPr="00264F3F" w:rsidRDefault="00581431" w:rsidP="00264F3F">
      <w:pPr>
        <w:jc w:val="both"/>
        <w:rPr>
          <w:rFonts w:ascii="Times New Roman" w:hAnsi="Times New Roman"/>
          <w:sz w:val="24"/>
          <w:szCs w:val="24"/>
        </w:rPr>
      </w:pPr>
    </w:p>
    <w:p w14:paraId="6E340786" w14:textId="373E42F2" w:rsidR="00581431" w:rsidRPr="006608CB" w:rsidRDefault="00581431" w:rsidP="006608CB">
      <w:pPr>
        <w:pStyle w:val="ListParagraph"/>
        <w:numPr>
          <w:ilvl w:val="0"/>
          <w:numId w:val="10"/>
        </w:numPr>
        <w:jc w:val="both"/>
        <w:rPr>
          <w:rFonts w:ascii="Times New Roman" w:hAnsi="Times New Roman"/>
          <w:sz w:val="24"/>
          <w:szCs w:val="24"/>
        </w:rPr>
      </w:pPr>
      <w:r w:rsidRPr="006608CB">
        <w:rPr>
          <w:rFonts w:ascii="Times New Roman" w:hAnsi="Times New Roman"/>
          <w:sz w:val="24"/>
          <w:szCs w:val="24"/>
        </w:rPr>
        <w:t>La</w:t>
      </w:r>
      <w:r w:rsidR="00DF28C9">
        <w:rPr>
          <w:rFonts w:ascii="Times New Roman" w:hAnsi="Times New Roman"/>
          <w:sz w:val="24"/>
          <w:szCs w:val="24"/>
        </w:rPr>
        <w:t xml:space="preserve">stly the DTs and MDGs were </w:t>
      </w:r>
      <w:r w:rsidR="00E02709">
        <w:rPr>
          <w:rFonts w:ascii="Times New Roman" w:hAnsi="Times New Roman"/>
          <w:sz w:val="24"/>
          <w:szCs w:val="24"/>
        </w:rPr>
        <w:t xml:space="preserve">static </w:t>
      </w:r>
      <w:r w:rsidR="00DF28C9">
        <w:rPr>
          <w:rFonts w:ascii="Times New Roman" w:hAnsi="Times New Roman"/>
          <w:sz w:val="24"/>
          <w:szCs w:val="24"/>
        </w:rPr>
        <w:t xml:space="preserve">and were </w:t>
      </w:r>
      <w:r w:rsidRPr="006608CB">
        <w:rPr>
          <w:rFonts w:ascii="Times New Roman" w:hAnsi="Times New Roman"/>
          <w:sz w:val="24"/>
          <w:szCs w:val="24"/>
        </w:rPr>
        <w:t>lists not recipes</w:t>
      </w:r>
      <w:r w:rsidR="003E24DD">
        <w:rPr>
          <w:rFonts w:ascii="Times New Roman" w:hAnsi="Times New Roman"/>
          <w:sz w:val="24"/>
          <w:szCs w:val="24"/>
        </w:rPr>
        <w:t xml:space="preserve">. </w:t>
      </w:r>
      <w:r w:rsidRPr="006608CB">
        <w:rPr>
          <w:rFonts w:ascii="Times New Roman" w:hAnsi="Times New Roman"/>
          <w:sz w:val="24"/>
          <w:szCs w:val="24"/>
        </w:rPr>
        <w:t xml:space="preserve">Putting them all into a tin and baking them together held no guarantee that a perfectly formed cake would emerge. Though laudable in themselves each aspiration interacted with others, trade offs were not recognised, contradictions were </w:t>
      </w:r>
      <w:r w:rsidR="00E02709">
        <w:rPr>
          <w:rFonts w:ascii="Times New Roman" w:hAnsi="Times New Roman"/>
          <w:sz w:val="24"/>
          <w:szCs w:val="24"/>
        </w:rPr>
        <w:t xml:space="preserve">common </w:t>
      </w:r>
      <w:r w:rsidRPr="006608CB">
        <w:rPr>
          <w:rFonts w:ascii="Times New Roman" w:hAnsi="Times New Roman"/>
          <w:sz w:val="24"/>
          <w:szCs w:val="24"/>
        </w:rPr>
        <w:t>and some ingredients lacked definition. Most worryingly the Goals and Targets</w:t>
      </w:r>
      <w:r w:rsidR="00B02578">
        <w:rPr>
          <w:rFonts w:ascii="Times New Roman" w:hAnsi="Times New Roman"/>
          <w:sz w:val="24"/>
          <w:szCs w:val="24"/>
        </w:rPr>
        <w:t xml:space="preserve"> (G and T’s)</w:t>
      </w:r>
      <w:r w:rsidRPr="006608CB">
        <w:rPr>
          <w:rFonts w:ascii="Times New Roman" w:hAnsi="Times New Roman"/>
          <w:sz w:val="24"/>
          <w:szCs w:val="24"/>
        </w:rPr>
        <w:t xml:space="preserve"> were ossified by the bureaucrats pen</w:t>
      </w:r>
      <w:r w:rsidR="00E02709">
        <w:rPr>
          <w:rFonts w:ascii="Times New Roman" w:hAnsi="Times New Roman"/>
          <w:sz w:val="24"/>
          <w:szCs w:val="24"/>
        </w:rPr>
        <w:t xml:space="preserve"> and blotted ink,</w:t>
      </w:r>
      <w:r w:rsidRPr="006608CB">
        <w:rPr>
          <w:rFonts w:ascii="Times New Roman" w:hAnsi="Times New Roman"/>
          <w:sz w:val="24"/>
          <w:szCs w:val="24"/>
        </w:rPr>
        <w:t xml:space="preserve"> with no intention to revisit the G and T</w:t>
      </w:r>
      <w:r w:rsidR="00B02578">
        <w:rPr>
          <w:rFonts w:ascii="Times New Roman" w:hAnsi="Times New Roman"/>
          <w:sz w:val="24"/>
          <w:szCs w:val="24"/>
        </w:rPr>
        <w:t>’</w:t>
      </w:r>
      <w:r w:rsidRPr="006608CB">
        <w:rPr>
          <w:rFonts w:ascii="Times New Roman" w:hAnsi="Times New Roman"/>
          <w:sz w:val="24"/>
          <w:szCs w:val="24"/>
        </w:rPr>
        <w:t>s before 2015. Be</w:t>
      </w:r>
      <w:r w:rsidR="00E02709">
        <w:rPr>
          <w:rFonts w:ascii="Times New Roman" w:hAnsi="Times New Roman"/>
          <w:sz w:val="24"/>
          <w:szCs w:val="24"/>
        </w:rPr>
        <w:t xml:space="preserve">tween 2000 and 2015 events </w:t>
      </w:r>
      <w:r w:rsidRPr="006608CB">
        <w:rPr>
          <w:rFonts w:ascii="Times New Roman" w:hAnsi="Times New Roman"/>
          <w:sz w:val="24"/>
          <w:szCs w:val="24"/>
        </w:rPr>
        <w:t>intruded including 9/11, the Iraq, Afghanistan and Syrian wars</w:t>
      </w:r>
      <w:r w:rsidR="00DB5EF4">
        <w:rPr>
          <w:rFonts w:ascii="Times New Roman" w:hAnsi="Times New Roman"/>
          <w:sz w:val="24"/>
          <w:szCs w:val="24"/>
        </w:rPr>
        <w:t>,</w:t>
      </w:r>
      <w:r w:rsidRPr="006608CB">
        <w:rPr>
          <w:rFonts w:ascii="Times New Roman" w:hAnsi="Times New Roman"/>
          <w:sz w:val="24"/>
          <w:szCs w:val="24"/>
        </w:rPr>
        <w:t xml:space="preserve"> energy independence from the Gulf in North America, an increase in China’s GDP by ten times, global inequality leading to 25 people having as much wealth as the poorest 50% in the world, and general acceptance that </w:t>
      </w:r>
      <w:r w:rsidR="00DB5EF4">
        <w:rPr>
          <w:rFonts w:ascii="Times New Roman" w:hAnsi="Times New Roman"/>
          <w:sz w:val="24"/>
          <w:szCs w:val="24"/>
        </w:rPr>
        <w:t xml:space="preserve">global warming is a </w:t>
      </w:r>
      <w:r w:rsidRPr="006608CB">
        <w:rPr>
          <w:rFonts w:ascii="Times New Roman" w:hAnsi="Times New Roman"/>
          <w:sz w:val="24"/>
          <w:szCs w:val="24"/>
        </w:rPr>
        <w:t>persistent th</w:t>
      </w:r>
      <w:r w:rsidR="00B02578">
        <w:rPr>
          <w:rFonts w:ascii="Times New Roman" w:hAnsi="Times New Roman"/>
          <w:sz w:val="24"/>
          <w:szCs w:val="24"/>
        </w:rPr>
        <w:t>reat to life on earth that needed</w:t>
      </w:r>
      <w:r w:rsidRPr="006608CB">
        <w:rPr>
          <w:rFonts w:ascii="Times New Roman" w:hAnsi="Times New Roman"/>
          <w:sz w:val="24"/>
          <w:szCs w:val="24"/>
        </w:rPr>
        <w:t xml:space="preserve"> a new approach to development.                 </w:t>
      </w:r>
    </w:p>
    <w:p w14:paraId="0380CD42" w14:textId="77777777" w:rsidR="00D55142" w:rsidRPr="00264F3F" w:rsidRDefault="00D55142" w:rsidP="00264F3F">
      <w:pPr>
        <w:jc w:val="both"/>
        <w:rPr>
          <w:rFonts w:ascii="Times New Roman" w:hAnsi="Times New Roman"/>
          <w:sz w:val="24"/>
          <w:szCs w:val="24"/>
        </w:rPr>
      </w:pPr>
    </w:p>
    <w:p w14:paraId="0369C9E4" w14:textId="498B4D85" w:rsidR="00581431" w:rsidRPr="00264F3F" w:rsidRDefault="00DB5EF4" w:rsidP="00264F3F">
      <w:pPr>
        <w:jc w:val="both"/>
        <w:rPr>
          <w:rFonts w:ascii="Times New Roman" w:hAnsi="Times New Roman"/>
          <w:sz w:val="24"/>
          <w:szCs w:val="24"/>
        </w:rPr>
      </w:pPr>
      <w:r>
        <w:rPr>
          <w:rFonts w:ascii="Times New Roman" w:hAnsi="Times New Roman"/>
          <w:sz w:val="24"/>
          <w:szCs w:val="24"/>
        </w:rPr>
        <w:t>In 2012 t</w:t>
      </w:r>
      <w:r w:rsidR="00581431" w:rsidRPr="00264F3F">
        <w:rPr>
          <w:rFonts w:ascii="Times New Roman" w:hAnsi="Times New Roman"/>
          <w:sz w:val="24"/>
          <w:szCs w:val="24"/>
        </w:rPr>
        <w:t>he Commonwealth Ministers working group’s deliberation</w:t>
      </w:r>
      <w:r w:rsidR="00DF28C9">
        <w:rPr>
          <w:rFonts w:ascii="Times New Roman" w:hAnsi="Times New Roman"/>
          <w:sz w:val="24"/>
          <w:szCs w:val="24"/>
        </w:rPr>
        <w:t>s</w:t>
      </w:r>
      <w:r w:rsidR="00745DDF">
        <w:rPr>
          <w:rFonts w:ascii="Times New Roman" w:hAnsi="Times New Roman"/>
          <w:sz w:val="24"/>
          <w:szCs w:val="24"/>
        </w:rPr>
        <w:t xml:space="preserve"> resulted in the</w:t>
      </w:r>
      <w:r w:rsidR="00581431" w:rsidRPr="00264F3F">
        <w:rPr>
          <w:rFonts w:ascii="Times New Roman" w:hAnsi="Times New Roman"/>
          <w:sz w:val="24"/>
          <w:szCs w:val="24"/>
        </w:rPr>
        <w:t xml:space="preserve"> </w:t>
      </w:r>
      <w:r w:rsidR="006608CB">
        <w:rPr>
          <w:rFonts w:ascii="Times New Roman" w:hAnsi="Times New Roman"/>
          <w:sz w:val="24"/>
          <w:szCs w:val="24"/>
        </w:rPr>
        <w:t>new formulation of goals</w:t>
      </w:r>
      <w:r w:rsidR="00DF28C9">
        <w:rPr>
          <w:rFonts w:ascii="Times New Roman" w:hAnsi="Times New Roman"/>
          <w:sz w:val="24"/>
          <w:szCs w:val="24"/>
        </w:rPr>
        <w:t xml:space="preserve"> known as </w:t>
      </w:r>
      <w:r w:rsidR="006A323E">
        <w:rPr>
          <w:rFonts w:ascii="Times New Roman" w:hAnsi="Times New Roman"/>
          <w:sz w:val="24"/>
          <w:szCs w:val="24"/>
        </w:rPr>
        <w:t>the Commonwealth Goals and Targets for 2030 (CMGT)</w:t>
      </w:r>
      <w:r w:rsidR="00DF28C9">
        <w:rPr>
          <w:rFonts w:ascii="Times New Roman" w:hAnsi="Times New Roman"/>
          <w:sz w:val="24"/>
          <w:szCs w:val="24"/>
        </w:rPr>
        <w:t xml:space="preserve">. </w:t>
      </w:r>
      <w:r w:rsidR="00664868">
        <w:rPr>
          <w:rFonts w:ascii="Times New Roman" w:hAnsi="Times New Roman"/>
          <w:sz w:val="24"/>
          <w:szCs w:val="24"/>
        </w:rPr>
        <w:t>This fed into the global deliberations on the SDGs and added to the weight of opinion that there should be a separate set of goals for education which some thought was no longer necessary.</w:t>
      </w:r>
      <w:r w:rsidR="00D55142">
        <w:rPr>
          <w:rFonts w:ascii="Times New Roman" w:hAnsi="Times New Roman"/>
          <w:sz w:val="24"/>
          <w:szCs w:val="24"/>
        </w:rPr>
        <w:t xml:space="preserve"> </w:t>
      </w:r>
      <w:r w:rsidR="00D55142" w:rsidRPr="00D55142">
        <w:rPr>
          <w:rFonts w:ascii="Times New Roman" w:hAnsi="Times New Roman"/>
          <w:sz w:val="24"/>
          <w:szCs w:val="24"/>
        </w:rPr>
        <w:t>The final recommendations were then presented to representatives of the UN Secretary-</w:t>
      </w:r>
      <w:r w:rsidR="00745DDF">
        <w:rPr>
          <w:rFonts w:ascii="Times New Roman" w:hAnsi="Times New Roman"/>
          <w:sz w:val="24"/>
          <w:szCs w:val="24"/>
        </w:rPr>
        <w:t>General’s High Level Panel</w:t>
      </w:r>
      <w:r w:rsidR="00D55142" w:rsidRPr="00D55142">
        <w:rPr>
          <w:rFonts w:ascii="Times New Roman" w:hAnsi="Times New Roman"/>
          <w:sz w:val="24"/>
          <w:szCs w:val="24"/>
        </w:rPr>
        <w:t xml:space="preserve"> of Eminent Persons on the Post-2015 Development Agenda in London in December 2012. </w:t>
      </w:r>
      <w:r w:rsidR="00664868">
        <w:rPr>
          <w:rFonts w:ascii="Times New Roman" w:hAnsi="Times New Roman"/>
          <w:sz w:val="24"/>
          <w:szCs w:val="24"/>
        </w:rPr>
        <w:t>The</w:t>
      </w:r>
      <w:r w:rsidR="00581431" w:rsidRPr="00264F3F">
        <w:rPr>
          <w:rFonts w:ascii="Times New Roman" w:hAnsi="Times New Roman"/>
          <w:sz w:val="24"/>
          <w:szCs w:val="24"/>
        </w:rPr>
        <w:t xml:space="preserve"> </w:t>
      </w:r>
      <w:r w:rsidR="00664868">
        <w:rPr>
          <w:rFonts w:ascii="Times New Roman" w:hAnsi="Times New Roman"/>
          <w:sz w:val="24"/>
          <w:szCs w:val="24"/>
        </w:rPr>
        <w:t xml:space="preserve">Commonwealth </w:t>
      </w:r>
      <w:r w:rsidR="00D55142">
        <w:rPr>
          <w:rFonts w:ascii="Times New Roman" w:hAnsi="Times New Roman"/>
          <w:sz w:val="24"/>
          <w:szCs w:val="24"/>
        </w:rPr>
        <w:t xml:space="preserve">Framework was </w:t>
      </w:r>
      <w:r w:rsidR="00581431" w:rsidRPr="00264F3F">
        <w:rPr>
          <w:rFonts w:ascii="Times New Roman" w:hAnsi="Times New Roman"/>
          <w:sz w:val="24"/>
          <w:szCs w:val="24"/>
        </w:rPr>
        <w:t>d</w:t>
      </w:r>
      <w:r w:rsidR="003E24DD">
        <w:rPr>
          <w:rFonts w:ascii="Times New Roman" w:hAnsi="Times New Roman"/>
          <w:sz w:val="24"/>
          <w:szCs w:val="24"/>
        </w:rPr>
        <w:t>isseminated into the</w:t>
      </w:r>
      <w:r w:rsidR="00E02709">
        <w:rPr>
          <w:rFonts w:ascii="Times New Roman" w:hAnsi="Times New Roman"/>
          <w:sz w:val="24"/>
          <w:szCs w:val="24"/>
        </w:rPr>
        <w:t xml:space="preserve"> U</w:t>
      </w:r>
      <w:r w:rsidR="00581431" w:rsidRPr="00264F3F">
        <w:rPr>
          <w:rFonts w:ascii="Times New Roman" w:hAnsi="Times New Roman"/>
          <w:sz w:val="24"/>
          <w:szCs w:val="24"/>
        </w:rPr>
        <w:t>N</w:t>
      </w:r>
      <w:r w:rsidR="00E02709">
        <w:rPr>
          <w:rFonts w:ascii="Times New Roman" w:hAnsi="Times New Roman"/>
          <w:sz w:val="24"/>
          <w:szCs w:val="24"/>
        </w:rPr>
        <w:t>ESCO</w:t>
      </w:r>
      <w:r w:rsidR="00581431" w:rsidRPr="00264F3F">
        <w:rPr>
          <w:rFonts w:ascii="Times New Roman" w:hAnsi="Times New Roman"/>
          <w:sz w:val="24"/>
          <w:szCs w:val="24"/>
        </w:rPr>
        <w:t xml:space="preserve"> led SDG consultations</w:t>
      </w:r>
      <w:r w:rsidR="00DF28C9">
        <w:rPr>
          <w:rFonts w:ascii="Times New Roman" w:hAnsi="Times New Roman"/>
          <w:sz w:val="24"/>
          <w:szCs w:val="24"/>
        </w:rPr>
        <w:t xml:space="preserve"> on Post 2015 Goals. </w:t>
      </w:r>
      <w:r w:rsidR="00D55142">
        <w:rPr>
          <w:rFonts w:ascii="Times New Roman" w:hAnsi="Times New Roman"/>
          <w:sz w:val="24"/>
          <w:szCs w:val="24"/>
        </w:rPr>
        <w:t xml:space="preserve">It was </w:t>
      </w:r>
      <w:r w:rsidR="00581431" w:rsidRPr="00264F3F">
        <w:rPr>
          <w:rFonts w:ascii="Times New Roman" w:hAnsi="Times New Roman"/>
          <w:sz w:val="24"/>
          <w:szCs w:val="24"/>
        </w:rPr>
        <w:t xml:space="preserve">presented at </w:t>
      </w:r>
      <w:r w:rsidR="006608CB">
        <w:rPr>
          <w:rFonts w:ascii="Times New Roman" w:hAnsi="Times New Roman"/>
          <w:sz w:val="24"/>
          <w:szCs w:val="24"/>
        </w:rPr>
        <w:t xml:space="preserve">various </w:t>
      </w:r>
      <w:r w:rsidR="00581431" w:rsidRPr="00264F3F">
        <w:rPr>
          <w:rFonts w:ascii="Times New Roman" w:hAnsi="Times New Roman"/>
          <w:sz w:val="24"/>
          <w:szCs w:val="24"/>
        </w:rPr>
        <w:t xml:space="preserve">regional </w:t>
      </w:r>
      <w:proofErr w:type="spellStart"/>
      <w:r w:rsidR="00581431" w:rsidRPr="00264F3F">
        <w:rPr>
          <w:rFonts w:ascii="Times New Roman" w:hAnsi="Times New Roman"/>
          <w:sz w:val="24"/>
          <w:szCs w:val="24"/>
        </w:rPr>
        <w:t>fora</w:t>
      </w:r>
      <w:proofErr w:type="spellEnd"/>
      <w:r w:rsidR="00581431" w:rsidRPr="00264F3F">
        <w:rPr>
          <w:rFonts w:ascii="Times New Roman" w:hAnsi="Times New Roman"/>
          <w:sz w:val="24"/>
          <w:szCs w:val="24"/>
        </w:rPr>
        <w:t xml:space="preserve"> that channelled country, NGO and agency proposals into the series of meetings that led from regional consultations to the Oman Co</w:t>
      </w:r>
      <w:r>
        <w:rPr>
          <w:rFonts w:ascii="Times New Roman" w:hAnsi="Times New Roman"/>
          <w:sz w:val="24"/>
          <w:szCs w:val="24"/>
        </w:rPr>
        <w:t xml:space="preserve">nference on the SDGs and to </w:t>
      </w:r>
      <w:r w:rsidR="00581431" w:rsidRPr="00264F3F">
        <w:rPr>
          <w:rFonts w:ascii="Times New Roman" w:hAnsi="Times New Roman"/>
          <w:sz w:val="24"/>
          <w:szCs w:val="24"/>
        </w:rPr>
        <w:t>the World Educa</w:t>
      </w:r>
      <w:r>
        <w:rPr>
          <w:rFonts w:ascii="Times New Roman" w:hAnsi="Times New Roman"/>
          <w:sz w:val="24"/>
          <w:szCs w:val="24"/>
        </w:rPr>
        <w:t xml:space="preserve">tion Forum in Incheon in 2015. </w:t>
      </w:r>
    </w:p>
    <w:p w14:paraId="21B911B4" w14:textId="77777777" w:rsidR="00264F3F" w:rsidRPr="00264F3F" w:rsidRDefault="00264F3F" w:rsidP="00264F3F">
      <w:pPr>
        <w:jc w:val="both"/>
        <w:rPr>
          <w:rFonts w:ascii="Times New Roman" w:hAnsi="Times New Roman"/>
          <w:sz w:val="24"/>
          <w:szCs w:val="24"/>
        </w:rPr>
      </w:pPr>
    </w:p>
    <w:p w14:paraId="612F8CBB" w14:textId="6F32E731" w:rsidR="00581431" w:rsidRPr="00264F3F" w:rsidRDefault="00264F3F" w:rsidP="00264F3F">
      <w:pPr>
        <w:jc w:val="both"/>
        <w:rPr>
          <w:rFonts w:ascii="Times New Roman" w:hAnsi="Times New Roman"/>
          <w:sz w:val="24"/>
          <w:szCs w:val="24"/>
        </w:rPr>
      </w:pPr>
      <w:r w:rsidRPr="00264F3F">
        <w:rPr>
          <w:rFonts w:ascii="Times New Roman" w:hAnsi="Times New Roman"/>
          <w:sz w:val="24"/>
          <w:szCs w:val="24"/>
        </w:rPr>
        <w:t xml:space="preserve">The Commonwealth Ministers discussions around the Post 2015 Goals recognised the three possibilities identified by the Economic Commission for Africa. These were  </w:t>
      </w:r>
    </w:p>
    <w:p w14:paraId="36566B63" w14:textId="77777777" w:rsidR="00264F3F" w:rsidRDefault="00264F3F" w:rsidP="00264F3F">
      <w:pPr>
        <w:jc w:val="both"/>
        <w:rPr>
          <w:rFonts w:ascii="Times New Roman" w:hAnsi="Times New Roman"/>
          <w:sz w:val="24"/>
          <w:szCs w:val="24"/>
        </w:rPr>
      </w:pPr>
    </w:p>
    <w:p w14:paraId="7836C97B" w14:textId="77777777" w:rsidR="00581431" w:rsidRPr="00264F3F" w:rsidRDefault="00581431" w:rsidP="00264F3F">
      <w:pPr>
        <w:pStyle w:val="ListParagraph"/>
        <w:numPr>
          <w:ilvl w:val="0"/>
          <w:numId w:val="8"/>
        </w:numPr>
        <w:jc w:val="both"/>
        <w:rPr>
          <w:rFonts w:ascii="Times New Roman" w:hAnsi="Times New Roman"/>
          <w:sz w:val="24"/>
          <w:szCs w:val="24"/>
        </w:rPr>
      </w:pPr>
      <w:r w:rsidRPr="00DF28C9">
        <w:rPr>
          <w:rFonts w:ascii="Times New Roman" w:hAnsi="Times New Roman"/>
          <w:i/>
          <w:sz w:val="24"/>
          <w:szCs w:val="24"/>
        </w:rPr>
        <w:t xml:space="preserve">Retaining </w:t>
      </w:r>
      <w:r w:rsidRPr="00264F3F">
        <w:rPr>
          <w:rFonts w:ascii="Times New Roman" w:hAnsi="Times New Roman"/>
          <w:sz w:val="24"/>
          <w:szCs w:val="24"/>
        </w:rPr>
        <w:t xml:space="preserve">the current MDGs and extending the timeline; </w:t>
      </w:r>
    </w:p>
    <w:p w14:paraId="68DC74EF" w14:textId="77777777" w:rsidR="00581431" w:rsidRPr="00264F3F" w:rsidRDefault="00581431" w:rsidP="00264F3F">
      <w:pPr>
        <w:pStyle w:val="ListParagraph"/>
        <w:numPr>
          <w:ilvl w:val="0"/>
          <w:numId w:val="8"/>
        </w:numPr>
        <w:jc w:val="both"/>
        <w:rPr>
          <w:rFonts w:ascii="Times New Roman" w:hAnsi="Times New Roman"/>
          <w:sz w:val="24"/>
          <w:szCs w:val="24"/>
        </w:rPr>
      </w:pPr>
      <w:r w:rsidRPr="00DF28C9">
        <w:rPr>
          <w:rFonts w:ascii="Times New Roman" w:hAnsi="Times New Roman"/>
          <w:i/>
          <w:sz w:val="24"/>
          <w:szCs w:val="24"/>
        </w:rPr>
        <w:t>Restructuring</w:t>
      </w:r>
      <w:r w:rsidRPr="00264F3F">
        <w:rPr>
          <w:rFonts w:ascii="Times New Roman" w:hAnsi="Times New Roman"/>
          <w:sz w:val="24"/>
          <w:szCs w:val="24"/>
        </w:rPr>
        <w:t xml:space="preserve"> the MDGs, to eliminate overlaps and include issues originally omitted (‘MDG-plus’);</w:t>
      </w:r>
    </w:p>
    <w:p w14:paraId="6C7EDB66" w14:textId="0B00E510" w:rsidR="00581431" w:rsidRPr="00264F3F" w:rsidRDefault="00581431" w:rsidP="00264F3F">
      <w:pPr>
        <w:pStyle w:val="ListParagraph"/>
        <w:numPr>
          <w:ilvl w:val="0"/>
          <w:numId w:val="8"/>
        </w:numPr>
        <w:jc w:val="both"/>
        <w:rPr>
          <w:rFonts w:ascii="Times New Roman" w:hAnsi="Times New Roman"/>
          <w:sz w:val="24"/>
          <w:szCs w:val="24"/>
        </w:rPr>
      </w:pPr>
      <w:r w:rsidRPr="00DF28C9">
        <w:rPr>
          <w:rFonts w:ascii="Times New Roman" w:hAnsi="Times New Roman"/>
          <w:i/>
          <w:sz w:val="24"/>
          <w:szCs w:val="24"/>
        </w:rPr>
        <w:t>Replacing</w:t>
      </w:r>
      <w:r w:rsidRPr="00264F3F">
        <w:rPr>
          <w:rFonts w:ascii="Times New Roman" w:hAnsi="Times New Roman"/>
          <w:sz w:val="24"/>
          <w:szCs w:val="24"/>
        </w:rPr>
        <w:t xml:space="preserve"> the MDGs completely with an alternative fr</w:t>
      </w:r>
      <w:r w:rsidR="00E02709">
        <w:rPr>
          <w:rFonts w:ascii="Times New Roman" w:hAnsi="Times New Roman"/>
          <w:sz w:val="24"/>
          <w:szCs w:val="24"/>
        </w:rPr>
        <w:t xml:space="preserve">amework that would focus on </w:t>
      </w:r>
      <w:r w:rsidRPr="00264F3F">
        <w:rPr>
          <w:rFonts w:ascii="Times New Roman" w:hAnsi="Times New Roman"/>
          <w:sz w:val="24"/>
          <w:szCs w:val="24"/>
        </w:rPr>
        <w:t xml:space="preserve">transforming the economies of developing countries, </w:t>
      </w:r>
      <w:r w:rsidR="00E02709">
        <w:rPr>
          <w:rFonts w:ascii="Times New Roman" w:hAnsi="Times New Roman"/>
          <w:sz w:val="24"/>
          <w:szCs w:val="24"/>
        </w:rPr>
        <w:t>educational reform</w:t>
      </w:r>
      <w:r w:rsidR="00DB5EF4">
        <w:rPr>
          <w:rFonts w:ascii="Times New Roman" w:hAnsi="Times New Roman"/>
          <w:sz w:val="24"/>
          <w:szCs w:val="24"/>
        </w:rPr>
        <w:t>s</w:t>
      </w:r>
      <w:r w:rsidR="00E02709">
        <w:rPr>
          <w:rFonts w:ascii="Times New Roman" w:hAnsi="Times New Roman"/>
          <w:sz w:val="24"/>
          <w:szCs w:val="24"/>
        </w:rPr>
        <w:t xml:space="preserve"> to improve access and quality, </w:t>
      </w:r>
      <w:r w:rsidRPr="00264F3F">
        <w:rPr>
          <w:rFonts w:ascii="Times New Roman" w:hAnsi="Times New Roman"/>
          <w:sz w:val="24"/>
          <w:szCs w:val="24"/>
        </w:rPr>
        <w:t>and greater reliance on domestic resources and revenue (UNECA, 2012: 131).</w:t>
      </w:r>
    </w:p>
    <w:p w14:paraId="2C99D36D" w14:textId="77777777" w:rsidR="00264F3F" w:rsidRDefault="00264F3F" w:rsidP="00264F3F">
      <w:pPr>
        <w:jc w:val="both"/>
        <w:rPr>
          <w:rFonts w:ascii="Times New Roman" w:hAnsi="Times New Roman"/>
          <w:sz w:val="24"/>
          <w:szCs w:val="24"/>
        </w:rPr>
      </w:pPr>
    </w:p>
    <w:p w14:paraId="4A36E98B" w14:textId="657BDCD4" w:rsidR="00420CB8" w:rsidRPr="00264F3F" w:rsidRDefault="00420CB8" w:rsidP="00420CB8">
      <w:pPr>
        <w:jc w:val="both"/>
        <w:rPr>
          <w:rFonts w:ascii="Times New Roman" w:hAnsi="Times New Roman"/>
          <w:sz w:val="24"/>
          <w:szCs w:val="24"/>
        </w:rPr>
      </w:pPr>
      <w:r w:rsidRPr="00E30E59">
        <w:rPr>
          <w:rFonts w:ascii="Times New Roman" w:hAnsi="Times New Roman"/>
          <w:i/>
          <w:sz w:val="24"/>
          <w:szCs w:val="24"/>
        </w:rPr>
        <w:t>Retaining</w:t>
      </w:r>
      <w:r>
        <w:rPr>
          <w:rFonts w:ascii="Times New Roman" w:hAnsi="Times New Roman"/>
          <w:sz w:val="24"/>
          <w:szCs w:val="24"/>
        </w:rPr>
        <w:t xml:space="preserve"> the MDGs was never going to satisfy needs for nov</w:t>
      </w:r>
      <w:r w:rsidR="00DB5EF4">
        <w:rPr>
          <w:rFonts w:ascii="Times New Roman" w:hAnsi="Times New Roman"/>
          <w:sz w:val="24"/>
          <w:szCs w:val="24"/>
        </w:rPr>
        <w:t xml:space="preserve">elty and </w:t>
      </w:r>
      <w:proofErr w:type="spellStart"/>
      <w:r w:rsidR="00DB5EF4">
        <w:rPr>
          <w:rFonts w:ascii="Times New Roman" w:hAnsi="Times New Roman"/>
          <w:sz w:val="24"/>
          <w:szCs w:val="24"/>
        </w:rPr>
        <w:t>retreading</w:t>
      </w:r>
      <w:proofErr w:type="spellEnd"/>
      <w:r w:rsidR="00DB5EF4">
        <w:rPr>
          <w:rFonts w:ascii="Times New Roman" w:hAnsi="Times New Roman"/>
          <w:sz w:val="24"/>
          <w:szCs w:val="24"/>
        </w:rPr>
        <w:t xml:space="preserve"> the </w:t>
      </w:r>
      <w:proofErr w:type="gramStart"/>
      <w:r w:rsidR="00DB5EF4">
        <w:rPr>
          <w:rFonts w:ascii="Times New Roman" w:hAnsi="Times New Roman"/>
          <w:sz w:val="24"/>
          <w:szCs w:val="24"/>
        </w:rPr>
        <w:t xml:space="preserve">15 year </w:t>
      </w:r>
      <w:r>
        <w:rPr>
          <w:rFonts w:ascii="Times New Roman" w:hAnsi="Times New Roman"/>
          <w:sz w:val="24"/>
          <w:szCs w:val="24"/>
        </w:rPr>
        <w:t>old</w:t>
      </w:r>
      <w:proofErr w:type="gramEnd"/>
      <w:r>
        <w:rPr>
          <w:rFonts w:ascii="Times New Roman" w:hAnsi="Times New Roman"/>
          <w:sz w:val="24"/>
          <w:szCs w:val="24"/>
        </w:rPr>
        <w:t xml:space="preserve"> millennium omnibus was judged to be a marketing challenge. The ever lengthening critiques and </w:t>
      </w:r>
      <w:r w:rsidR="00DB5EF4">
        <w:rPr>
          <w:rFonts w:ascii="Times New Roman" w:hAnsi="Times New Roman"/>
          <w:sz w:val="24"/>
          <w:szCs w:val="24"/>
        </w:rPr>
        <w:t xml:space="preserve">the </w:t>
      </w:r>
      <w:r>
        <w:rPr>
          <w:rFonts w:ascii="Times New Roman" w:hAnsi="Times New Roman"/>
          <w:sz w:val="24"/>
          <w:szCs w:val="24"/>
        </w:rPr>
        <w:t>sense of inevitability of not achieving the goals in 2015 in a good number of countries led t</w:t>
      </w:r>
      <w:r w:rsidR="00DB5EF4">
        <w:rPr>
          <w:rFonts w:ascii="Times New Roman" w:hAnsi="Times New Roman"/>
          <w:sz w:val="24"/>
          <w:szCs w:val="24"/>
        </w:rPr>
        <w:t>o a fatal fatigue with the brand</w:t>
      </w:r>
      <w:r>
        <w:rPr>
          <w:rFonts w:ascii="Times New Roman" w:hAnsi="Times New Roman"/>
          <w:sz w:val="24"/>
          <w:szCs w:val="24"/>
        </w:rPr>
        <w:t xml:space="preserve"> and </w:t>
      </w:r>
      <w:r w:rsidR="00AB0C88">
        <w:rPr>
          <w:rFonts w:ascii="Times New Roman" w:hAnsi="Times New Roman"/>
          <w:sz w:val="24"/>
          <w:szCs w:val="24"/>
        </w:rPr>
        <w:t xml:space="preserve">the appetite to refresh it. </w:t>
      </w:r>
      <w:r w:rsidRPr="00264F3F">
        <w:rPr>
          <w:rFonts w:ascii="Times New Roman" w:hAnsi="Times New Roman"/>
          <w:sz w:val="24"/>
          <w:szCs w:val="24"/>
        </w:rPr>
        <w:t>Neith</w:t>
      </w:r>
      <w:r>
        <w:rPr>
          <w:rFonts w:ascii="Times New Roman" w:hAnsi="Times New Roman"/>
          <w:sz w:val="24"/>
          <w:szCs w:val="24"/>
        </w:rPr>
        <w:t>er the Commonwealth nor the UN</w:t>
      </w:r>
      <w:r w:rsidRPr="00264F3F">
        <w:rPr>
          <w:rFonts w:ascii="Times New Roman" w:hAnsi="Times New Roman"/>
          <w:sz w:val="24"/>
          <w:szCs w:val="24"/>
        </w:rPr>
        <w:t xml:space="preserve"> processes turned out to have sufficient courage or </w:t>
      </w:r>
      <w:r w:rsidR="00DB5EF4">
        <w:rPr>
          <w:rFonts w:ascii="Times New Roman" w:hAnsi="Times New Roman"/>
          <w:sz w:val="24"/>
          <w:szCs w:val="24"/>
        </w:rPr>
        <w:t xml:space="preserve">imagination to </w:t>
      </w:r>
      <w:r w:rsidRPr="00264F3F">
        <w:rPr>
          <w:rFonts w:ascii="Times New Roman" w:hAnsi="Times New Roman"/>
          <w:sz w:val="24"/>
          <w:szCs w:val="24"/>
        </w:rPr>
        <w:t>discuss</w:t>
      </w:r>
      <w:r w:rsidR="00DB5EF4">
        <w:rPr>
          <w:rFonts w:ascii="Times New Roman" w:hAnsi="Times New Roman"/>
          <w:sz w:val="24"/>
          <w:szCs w:val="24"/>
        </w:rPr>
        <w:t xml:space="preserve"> seriously </w:t>
      </w:r>
      <w:r w:rsidRPr="00264F3F">
        <w:rPr>
          <w:rFonts w:ascii="Times New Roman" w:hAnsi="Times New Roman"/>
          <w:sz w:val="24"/>
          <w:szCs w:val="24"/>
        </w:rPr>
        <w:t xml:space="preserve">the radical options of </w:t>
      </w:r>
      <w:r w:rsidRPr="00E30E59">
        <w:rPr>
          <w:rFonts w:ascii="Times New Roman" w:hAnsi="Times New Roman"/>
          <w:i/>
          <w:sz w:val="24"/>
          <w:szCs w:val="24"/>
        </w:rPr>
        <w:t>replacing</w:t>
      </w:r>
      <w:r>
        <w:rPr>
          <w:rFonts w:ascii="Times New Roman" w:hAnsi="Times New Roman"/>
          <w:sz w:val="24"/>
          <w:szCs w:val="24"/>
        </w:rPr>
        <w:t xml:space="preserve"> the dominant development paradigm</w:t>
      </w:r>
      <w:r w:rsidRPr="00264F3F">
        <w:rPr>
          <w:rFonts w:ascii="Times New Roman" w:hAnsi="Times New Roman"/>
          <w:sz w:val="24"/>
          <w:szCs w:val="24"/>
        </w:rPr>
        <w:t>. Nor did it take long to reject the option of simply abandoning a global architecture in favour of a country led, bottom up</w:t>
      </w:r>
      <w:r>
        <w:rPr>
          <w:rFonts w:ascii="Times New Roman" w:hAnsi="Times New Roman"/>
          <w:sz w:val="24"/>
          <w:szCs w:val="24"/>
        </w:rPr>
        <w:t>,</w:t>
      </w:r>
      <w:r w:rsidRPr="00264F3F">
        <w:rPr>
          <w:rFonts w:ascii="Times New Roman" w:hAnsi="Times New Roman"/>
          <w:sz w:val="24"/>
          <w:szCs w:val="24"/>
        </w:rPr>
        <w:t xml:space="preserve"> collection of differing approaches to educational development reflecting a myriad of differing priorities and preferences.</w:t>
      </w:r>
      <w:r>
        <w:rPr>
          <w:rFonts w:ascii="Times New Roman" w:hAnsi="Times New Roman"/>
          <w:sz w:val="24"/>
          <w:szCs w:val="24"/>
        </w:rPr>
        <w:t xml:space="preserve"> </w:t>
      </w:r>
      <w:r w:rsidR="00AB0C88">
        <w:rPr>
          <w:rFonts w:ascii="Times New Roman" w:hAnsi="Times New Roman"/>
          <w:sz w:val="24"/>
          <w:szCs w:val="24"/>
        </w:rPr>
        <w:t>Th</w:t>
      </w:r>
      <w:r w:rsidR="00DB5EF4">
        <w:rPr>
          <w:rFonts w:ascii="Times New Roman" w:hAnsi="Times New Roman"/>
          <w:sz w:val="24"/>
          <w:szCs w:val="24"/>
        </w:rPr>
        <w:t xml:space="preserve">is left </w:t>
      </w:r>
      <w:r w:rsidR="00AB0C88" w:rsidRPr="00E30E59">
        <w:rPr>
          <w:rFonts w:ascii="Times New Roman" w:hAnsi="Times New Roman"/>
          <w:i/>
          <w:sz w:val="24"/>
          <w:szCs w:val="24"/>
        </w:rPr>
        <w:t>restructuring</w:t>
      </w:r>
      <w:r w:rsidR="00AB0C88">
        <w:rPr>
          <w:rFonts w:ascii="Times New Roman" w:hAnsi="Times New Roman"/>
          <w:sz w:val="24"/>
          <w:szCs w:val="24"/>
        </w:rPr>
        <w:t xml:space="preserve"> as the front runner which would allow rebranding, admit new priorities, and allow variation to reflect diversity of aspirations and realistic trajectories to sustainable development. </w:t>
      </w:r>
      <w:r>
        <w:rPr>
          <w:rFonts w:ascii="Times New Roman" w:hAnsi="Times New Roman"/>
          <w:sz w:val="24"/>
          <w:szCs w:val="24"/>
        </w:rPr>
        <w:t xml:space="preserve"> </w:t>
      </w:r>
      <w:r w:rsidRPr="00264F3F">
        <w:rPr>
          <w:rFonts w:ascii="Times New Roman" w:hAnsi="Times New Roman"/>
          <w:sz w:val="24"/>
          <w:szCs w:val="24"/>
        </w:rPr>
        <w:t xml:space="preserve">  </w:t>
      </w:r>
    </w:p>
    <w:p w14:paraId="7FCF2E7A" w14:textId="77777777" w:rsidR="00420CB8" w:rsidRPr="00264F3F" w:rsidRDefault="00420CB8" w:rsidP="00264F3F">
      <w:pPr>
        <w:jc w:val="both"/>
        <w:rPr>
          <w:rFonts w:ascii="Times New Roman" w:hAnsi="Times New Roman"/>
          <w:sz w:val="24"/>
          <w:szCs w:val="24"/>
        </w:rPr>
      </w:pPr>
    </w:p>
    <w:p w14:paraId="6190A3C3" w14:textId="5F16C1CB" w:rsidR="00581431" w:rsidRPr="00264F3F" w:rsidRDefault="00DB5EF4" w:rsidP="00264F3F">
      <w:pPr>
        <w:jc w:val="both"/>
        <w:rPr>
          <w:rFonts w:ascii="Times New Roman" w:hAnsi="Times New Roman"/>
          <w:sz w:val="24"/>
          <w:szCs w:val="24"/>
        </w:rPr>
      </w:pPr>
      <w:r>
        <w:rPr>
          <w:rFonts w:ascii="Times New Roman" w:hAnsi="Times New Roman"/>
          <w:sz w:val="24"/>
          <w:szCs w:val="24"/>
        </w:rPr>
        <w:t>T</w:t>
      </w:r>
      <w:r w:rsidR="00581431" w:rsidRPr="00264F3F">
        <w:rPr>
          <w:rFonts w:ascii="Times New Roman" w:hAnsi="Times New Roman"/>
          <w:sz w:val="24"/>
          <w:szCs w:val="24"/>
        </w:rPr>
        <w:t xml:space="preserve">hree </w:t>
      </w:r>
      <w:r w:rsidR="00DF28C9">
        <w:rPr>
          <w:rFonts w:ascii="Times New Roman" w:hAnsi="Times New Roman"/>
          <w:sz w:val="24"/>
          <w:szCs w:val="24"/>
        </w:rPr>
        <w:t xml:space="preserve">structural </w:t>
      </w:r>
      <w:r w:rsidR="00581431" w:rsidRPr="00264F3F">
        <w:rPr>
          <w:rFonts w:ascii="Times New Roman" w:hAnsi="Times New Roman"/>
          <w:sz w:val="24"/>
          <w:szCs w:val="24"/>
        </w:rPr>
        <w:t xml:space="preserve">possibilities </w:t>
      </w:r>
      <w:r w:rsidR="00426F45">
        <w:rPr>
          <w:rFonts w:ascii="Times New Roman" w:hAnsi="Times New Roman"/>
          <w:sz w:val="24"/>
          <w:szCs w:val="24"/>
        </w:rPr>
        <w:t>were identified for the Post 2015</w:t>
      </w:r>
      <w:r w:rsidR="00581431" w:rsidRPr="00264F3F">
        <w:rPr>
          <w:rFonts w:ascii="Times New Roman" w:hAnsi="Times New Roman"/>
          <w:sz w:val="24"/>
          <w:szCs w:val="24"/>
        </w:rPr>
        <w:t xml:space="preserve"> </w:t>
      </w:r>
      <w:r w:rsidR="00F86DB5">
        <w:rPr>
          <w:rFonts w:ascii="Times New Roman" w:hAnsi="Times New Roman"/>
          <w:sz w:val="24"/>
          <w:szCs w:val="24"/>
        </w:rPr>
        <w:t xml:space="preserve">Commonwealth </w:t>
      </w:r>
      <w:r w:rsidR="00581431" w:rsidRPr="00264F3F">
        <w:rPr>
          <w:rFonts w:ascii="Times New Roman" w:hAnsi="Times New Roman"/>
          <w:sz w:val="24"/>
          <w:szCs w:val="24"/>
        </w:rPr>
        <w:t>Goals and Targets (</w:t>
      </w:r>
      <w:r w:rsidR="00DF28C9">
        <w:rPr>
          <w:rFonts w:ascii="Times New Roman" w:hAnsi="Times New Roman"/>
          <w:sz w:val="24"/>
          <w:szCs w:val="24"/>
        </w:rPr>
        <w:t>G and T</w:t>
      </w:r>
      <w:r w:rsidR="00F86DB5">
        <w:rPr>
          <w:rFonts w:ascii="Times New Roman" w:hAnsi="Times New Roman"/>
          <w:sz w:val="24"/>
          <w:szCs w:val="24"/>
        </w:rPr>
        <w:t>)</w:t>
      </w:r>
      <w:r w:rsidR="00581431" w:rsidRPr="00264F3F">
        <w:rPr>
          <w:rFonts w:ascii="Times New Roman" w:hAnsi="Times New Roman"/>
          <w:sz w:val="24"/>
          <w:szCs w:val="24"/>
        </w:rPr>
        <w:t>:</w:t>
      </w:r>
    </w:p>
    <w:p w14:paraId="04E75765" w14:textId="77777777" w:rsidR="00581431" w:rsidRPr="00264F3F" w:rsidRDefault="00581431" w:rsidP="00264F3F">
      <w:pPr>
        <w:jc w:val="both"/>
        <w:rPr>
          <w:rFonts w:ascii="Times New Roman" w:hAnsi="Times New Roman"/>
          <w:sz w:val="24"/>
          <w:szCs w:val="24"/>
        </w:rPr>
      </w:pPr>
    </w:p>
    <w:p w14:paraId="3A107238" w14:textId="77777777" w:rsidR="00581431" w:rsidRPr="00264F3F" w:rsidRDefault="00581431" w:rsidP="00264F3F">
      <w:pPr>
        <w:pStyle w:val="ListParagraph"/>
        <w:numPr>
          <w:ilvl w:val="0"/>
          <w:numId w:val="9"/>
        </w:numPr>
        <w:jc w:val="both"/>
        <w:rPr>
          <w:rFonts w:ascii="Times New Roman" w:hAnsi="Times New Roman"/>
          <w:sz w:val="24"/>
          <w:szCs w:val="24"/>
        </w:rPr>
      </w:pPr>
      <w:r w:rsidRPr="00264F3F">
        <w:rPr>
          <w:rFonts w:ascii="Times New Roman" w:hAnsi="Times New Roman"/>
          <w:sz w:val="24"/>
          <w:szCs w:val="24"/>
        </w:rPr>
        <w:t>G and T ‘</w:t>
      </w:r>
      <w:proofErr w:type="spellStart"/>
      <w:r w:rsidRPr="00264F3F">
        <w:rPr>
          <w:rFonts w:ascii="Times New Roman" w:hAnsi="Times New Roman"/>
          <w:sz w:val="24"/>
          <w:szCs w:val="24"/>
        </w:rPr>
        <w:t>lite</w:t>
      </w:r>
      <w:proofErr w:type="spellEnd"/>
      <w:r w:rsidRPr="00264F3F">
        <w:rPr>
          <w:rFonts w:ascii="Times New Roman" w:hAnsi="Times New Roman"/>
          <w:sz w:val="24"/>
          <w:szCs w:val="24"/>
        </w:rPr>
        <w:t>’: a two-tier framework, with high level goals linked to regions/groups and context, and lower level goals defined at national or regional level.</w:t>
      </w:r>
    </w:p>
    <w:p w14:paraId="23FA8E7C" w14:textId="77777777" w:rsidR="00581431" w:rsidRPr="00264F3F" w:rsidRDefault="00581431" w:rsidP="00264F3F">
      <w:pPr>
        <w:pStyle w:val="ListParagraph"/>
        <w:numPr>
          <w:ilvl w:val="0"/>
          <w:numId w:val="9"/>
        </w:numPr>
        <w:jc w:val="both"/>
        <w:rPr>
          <w:rFonts w:ascii="Times New Roman" w:hAnsi="Times New Roman"/>
          <w:sz w:val="24"/>
          <w:szCs w:val="24"/>
        </w:rPr>
      </w:pPr>
      <w:r w:rsidRPr="00264F3F">
        <w:rPr>
          <w:rFonts w:ascii="Times New Roman" w:hAnsi="Times New Roman"/>
          <w:sz w:val="24"/>
          <w:szCs w:val="24"/>
        </w:rPr>
        <w:t>G and T ‘heavy’: a standardised framework with detailed global specifications linked to performance and funding.</w:t>
      </w:r>
    </w:p>
    <w:p w14:paraId="6A3E9C35" w14:textId="77777777" w:rsidR="00DF28C9" w:rsidRDefault="00581431" w:rsidP="00264F3F">
      <w:pPr>
        <w:pStyle w:val="ListParagraph"/>
        <w:numPr>
          <w:ilvl w:val="0"/>
          <w:numId w:val="9"/>
        </w:numPr>
        <w:jc w:val="both"/>
        <w:rPr>
          <w:rFonts w:ascii="Times New Roman" w:hAnsi="Times New Roman"/>
          <w:sz w:val="24"/>
          <w:szCs w:val="24"/>
        </w:rPr>
      </w:pPr>
      <w:r w:rsidRPr="00264F3F">
        <w:rPr>
          <w:rFonts w:ascii="Times New Roman" w:hAnsi="Times New Roman"/>
          <w:sz w:val="24"/>
          <w:szCs w:val="24"/>
        </w:rPr>
        <w:t>G and T ‘Rest In Peace’: termina</w:t>
      </w:r>
      <w:r w:rsidR="00F42A09">
        <w:rPr>
          <w:rFonts w:ascii="Times New Roman" w:hAnsi="Times New Roman"/>
          <w:sz w:val="24"/>
          <w:szCs w:val="24"/>
        </w:rPr>
        <w:t>tion of a global framework to be r</w:t>
      </w:r>
      <w:r w:rsidRPr="00264F3F">
        <w:rPr>
          <w:rFonts w:ascii="Times New Roman" w:hAnsi="Times New Roman"/>
          <w:sz w:val="24"/>
          <w:szCs w:val="24"/>
        </w:rPr>
        <w:t xml:space="preserve">eplaced by separate national, bilateral and multilateral projects. </w:t>
      </w:r>
    </w:p>
    <w:p w14:paraId="2D7857E7" w14:textId="77777777" w:rsidR="00DF28C9" w:rsidRDefault="00DF28C9" w:rsidP="00DF28C9">
      <w:pPr>
        <w:ind w:left="360"/>
        <w:jc w:val="both"/>
        <w:rPr>
          <w:rFonts w:ascii="Times New Roman" w:hAnsi="Times New Roman"/>
          <w:sz w:val="24"/>
          <w:szCs w:val="24"/>
        </w:rPr>
      </w:pPr>
    </w:p>
    <w:p w14:paraId="4DB71EA7" w14:textId="6E4B9DEA" w:rsidR="00581431" w:rsidRPr="00264F3F" w:rsidRDefault="00581431" w:rsidP="00264F3F">
      <w:pPr>
        <w:jc w:val="both"/>
        <w:rPr>
          <w:rFonts w:ascii="Times New Roman" w:hAnsi="Times New Roman"/>
          <w:sz w:val="24"/>
          <w:szCs w:val="24"/>
        </w:rPr>
      </w:pPr>
      <w:r w:rsidRPr="00DF28C9">
        <w:rPr>
          <w:rFonts w:ascii="Times New Roman" w:hAnsi="Times New Roman"/>
          <w:sz w:val="24"/>
          <w:szCs w:val="24"/>
        </w:rPr>
        <w:t>Each of these options had advantages and disadvantages</w:t>
      </w:r>
      <w:r w:rsidR="00434ABD" w:rsidRPr="00DF28C9">
        <w:rPr>
          <w:rFonts w:ascii="Times New Roman" w:hAnsi="Times New Roman"/>
          <w:sz w:val="24"/>
          <w:szCs w:val="24"/>
        </w:rPr>
        <w:t xml:space="preserve"> (Lewin 2012)</w:t>
      </w:r>
      <w:r w:rsidR="006A323E">
        <w:t>.</w:t>
      </w:r>
      <w:r w:rsidR="00DB5EF4">
        <w:rPr>
          <w:rFonts w:ascii="Times New Roman" w:hAnsi="Times New Roman"/>
          <w:sz w:val="24"/>
          <w:szCs w:val="24"/>
        </w:rPr>
        <w:t xml:space="preserve"> </w:t>
      </w:r>
      <w:r w:rsidR="006A323E">
        <w:rPr>
          <w:rFonts w:ascii="Times New Roman" w:hAnsi="Times New Roman"/>
          <w:sz w:val="24"/>
          <w:szCs w:val="24"/>
        </w:rPr>
        <w:t>The proposed t</w:t>
      </w:r>
      <w:r w:rsidRPr="00264F3F">
        <w:rPr>
          <w:rFonts w:ascii="Times New Roman" w:hAnsi="Times New Roman"/>
          <w:sz w:val="24"/>
          <w:szCs w:val="24"/>
        </w:rPr>
        <w:t xml:space="preserve">wo-tier goals </w:t>
      </w:r>
      <w:r w:rsidR="006A323E">
        <w:rPr>
          <w:rFonts w:ascii="Times New Roman" w:hAnsi="Times New Roman"/>
          <w:sz w:val="24"/>
          <w:szCs w:val="24"/>
        </w:rPr>
        <w:t xml:space="preserve">(G and T </w:t>
      </w:r>
      <w:proofErr w:type="spellStart"/>
      <w:r w:rsidR="006A323E">
        <w:rPr>
          <w:rFonts w:ascii="Times New Roman" w:hAnsi="Times New Roman"/>
          <w:sz w:val="24"/>
          <w:szCs w:val="24"/>
        </w:rPr>
        <w:t>lite</w:t>
      </w:r>
      <w:proofErr w:type="spellEnd"/>
      <w:r w:rsidR="006A323E">
        <w:rPr>
          <w:rFonts w:ascii="Times New Roman" w:hAnsi="Times New Roman"/>
          <w:sz w:val="24"/>
          <w:szCs w:val="24"/>
        </w:rPr>
        <w:t xml:space="preserve">) introduced a layer of differentiation in priorities. </w:t>
      </w:r>
      <w:r w:rsidRPr="00264F3F">
        <w:rPr>
          <w:rFonts w:ascii="Times New Roman" w:hAnsi="Times New Roman"/>
          <w:sz w:val="24"/>
          <w:szCs w:val="24"/>
        </w:rPr>
        <w:t>This structure</w:t>
      </w:r>
      <w:r w:rsidR="006A323E">
        <w:rPr>
          <w:rFonts w:ascii="Times New Roman" w:hAnsi="Times New Roman"/>
          <w:sz w:val="24"/>
          <w:szCs w:val="24"/>
        </w:rPr>
        <w:t xml:space="preserve"> of Goals and Sub-goals was included in the CMGT but not SDG 4. It was intended to </w:t>
      </w:r>
      <w:r w:rsidRPr="00264F3F">
        <w:rPr>
          <w:rFonts w:ascii="Times New Roman" w:hAnsi="Times New Roman"/>
          <w:sz w:val="24"/>
          <w:szCs w:val="24"/>
        </w:rPr>
        <w:t>allow more realistic national or regional level goals responsive to different initial conditions, national priorities, and</w:t>
      </w:r>
      <w:r w:rsidR="00DB5EF4">
        <w:rPr>
          <w:rFonts w:ascii="Times New Roman" w:hAnsi="Times New Roman"/>
          <w:sz w:val="24"/>
          <w:szCs w:val="24"/>
        </w:rPr>
        <w:t xml:space="preserve"> available resources to be set</w:t>
      </w:r>
      <w:r w:rsidRPr="00264F3F">
        <w:rPr>
          <w:rFonts w:ascii="Times New Roman" w:hAnsi="Times New Roman"/>
          <w:sz w:val="24"/>
          <w:szCs w:val="24"/>
        </w:rPr>
        <w:t>. Some differentiation based on contextual realities is necessary to successful attainment</w:t>
      </w:r>
      <w:r w:rsidR="00315429" w:rsidRPr="00264F3F">
        <w:rPr>
          <w:rFonts w:ascii="Times New Roman" w:hAnsi="Times New Roman"/>
          <w:sz w:val="24"/>
          <w:szCs w:val="24"/>
        </w:rPr>
        <w:t xml:space="preserve"> (</w:t>
      </w:r>
      <w:proofErr w:type="spellStart"/>
      <w:r w:rsidR="00315429" w:rsidRPr="00264F3F">
        <w:rPr>
          <w:rFonts w:ascii="Times New Roman" w:hAnsi="Times New Roman"/>
          <w:sz w:val="24"/>
          <w:szCs w:val="24"/>
        </w:rPr>
        <w:t>Crossley</w:t>
      </w:r>
      <w:proofErr w:type="spellEnd"/>
      <w:r w:rsidR="00315429" w:rsidRPr="00264F3F">
        <w:rPr>
          <w:rFonts w:ascii="Times New Roman" w:hAnsi="Times New Roman"/>
          <w:sz w:val="24"/>
          <w:szCs w:val="24"/>
        </w:rPr>
        <w:t xml:space="preserve"> and Watson, 2003).</w:t>
      </w:r>
      <w:r w:rsidRPr="00264F3F">
        <w:rPr>
          <w:rFonts w:ascii="Times New Roman" w:hAnsi="Times New Roman"/>
          <w:sz w:val="24"/>
          <w:szCs w:val="24"/>
        </w:rPr>
        <w:t xml:space="preserve"> Differentiation might take the form of different attainment levels, or of different timescales for achieving targets</w:t>
      </w:r>
      <w:r w:rsidR="006A323E">
        <w:rPr>
          <w:rFonts w:ascii="Times New Roman" w:hAnsi="Times New Roman"/>
          <w:sz w:val="24"/>
          <w:szCs w:val="24"/>
        </w:rPr>
        <w:t>, or of different prioritisation of goals</w:t>
      </w:r>
      <w:r w:rsidRPr="00264F3F">
        <w:rPr>
          <w:rFonts w:ascii="Times New Roman" w:hAnsi="Times New Roman"/>
          <w:sz w:val="24"/>
          <w:szCs w:val="24"/>
        </w:rPr>
        <w:t xml:space="preserve">. Differentiated goals make specific targets more </w:t>
      </w:r>
      <w:r w:rsidR="006A323E">
        <w:rPr>
          <w:rFonts w:ascii="Times New Roman" w:hAnsi="Times New Roman"/>
          <w:sz w:val="24"/>
          <w:szCs w:val="24"/>
        </w:rPr>
        <w:t>achievable</w:t>
      </w:r>
      <w:r w:rsidRPr="00264F3F">
        <w:rPr>
          <w:rFonts w:ascii="Times New Roman" w:hAnsi="Times New Roman"/>
          <w:sz w:val="24"/>
          <w:szCs w:val="24"/>
        </w:rPr>
        <w:t>, measurable and more accountable. Country-specific targets would allow greater specificity in indicators, and allow for secure national ownership within a global framework.</w:t>
      </w:r>
    </w:p>
    <w:p w14:paraId="117F8591" w14:textId="77777777" w:rsidR="006639D0" w:rsidRDefault="006639D0" w:rsidP="006639D0">
      <w:pPr>
        <w:jc w:val="both"/>
        <w:rPr>
          <w:rFonts w:ascii="Times New Roman" w:hAnsi="Times New Roman"/>
          <w:sz w:val="24"/>
          <w:szCs w:val="24"/>
        </w:rPr>
      </w:pPr>
    </w:p>
    <w:p w14:paraId="337E5086" w14:textId="24DCBC4D" w:rsidR="00EB34B8" w:rsidRPr="00264F3F" w:rsidRDefault="00420CB8" w:rsidP="00EB34B8">
      <w:pPr>
        <w:jc w:val="both"/>
        <w:rPr>
          <w:rFonts w:ascii="Times New Roman" w:hAnsi="Times New Roman"/>
          <w:sz w:val="24"/>
          <w:szCs w:val="24"/>
        </w:rPr>
      </w:pPr>
      <w:r>
        <w:rPr>
          <w:rFonts w:ascii="Times New Roman" w:hAnsi="Times New Roman"/>
          <w:sz w:val="24"/>
          <w:szCs w:val="24"/>
        </w:rPr>
        <w:t xml:space="preserve">“G and T” heavy </w:t>
      </w:r>
      <w:r w:rsidR="00AB0C88">
        <w:rPr>
          <w:rFonts w:ascii="Times New Roman" w:hAnsi="Times New Roman"/>
          <w:sz w:val="24"/>
          <w:szCs w:val="24"/>
        </w:rPr>
        <w:t xml:space="preserve">was not initially </w:t>
      </w:r>
      <w:r w:rsidR="00E30E59">
        <w:rPr>
          <w:rFonts w:ascii="Times New Roman" w:hAnsi="Times New Roman"/>
          <w:sz w:val="24"/>
          <w:szCs w:val="24"/>
        </w:rPr>
        <w:t xml:space="preserve">favoured </w:t>
      </w:r>
      <w:r w:rsidR="00AB0C88">
        <w:rPr>
          <w:rFonts w:ascii="Times New Roman" w:hAnsi="Times New Roman"/>
          <w:sz w:val="24"/>
          <w:szCs w:val="24"/>
        </w:rPr>
        <w:t xml:space="preserve">because of the widespread sentiment that </w:t>
      </w:r>
      <w:r w:rsidR="00E30E59">
        <w:rPr>
          <w:rFonts w:ascii="Times New Roman" w:hAnsi="Times New Roman"/>
          <w:sz w:val="24"/>
          <w:szCs w:val="24"/>
        </w:rPr>
        <w:t xml:space="preserve">the new </w:t>
      </w:r>
      <w:r w:rsidR="00AB0C88">
        <w:rPr>
          <w:rFonts w:ascii="Times New Roman" w:hAnsi="Times New Roman"/>
          <w:sz w:val="24"/>
          <w:szCs w:val="24"/>
        </w:rPr>
        <w:t>goals and targets should be grown and owned</w:t>
      </w:r>
      <w:r w:rsidR="00E30E59">
        <w:rPr>
          <w:rFonts w:ascii="Times New Roman" w:hAnsi="Times New Roman"/>
          <w:sz w:val="24"/>
          <w:szCs w:val="24"/>
        </w:rPr>
        <w:t>,</w:t>
      </w:r>
      <w:r w:rsidR="00AB0C88">
        <w:rPr>
          <w:rFonts w:ascii="Times New Roman" w:hAnsi="Times New Roman"/>
          <w:sz w:val="24"/>
          <w:szCs w:val="24"/>
        </w:rPr>
        <w:t xml:space="preserve"> rather than </w:t>
      </w:r>
      <w:r w:rsidR="00E30E59">
        <w:rPr>
          <w:rFonts w:ascii="Times New Roman" w:hAnsi="Times New Roman"/>
          <w:sz w:val="24"/>
          <w:szCs w:val="24"/>
        </w:rPr>
        <w:t xml:space="preserve">given and borrowed from global development agencies. </w:t>
      </w:r>
      <w:r w:rsidR="00EB34B8">
        <w:rPr>
          <w:rFonts w:ascii="Times New Roman" w:hAnsi="Times New Roman"/>
          <w:sz w:val="24"/>
          <w:szCs w:val="24"/>
        </w:rPr>
        <w:t xml:space="preserve">Post 2015 the SDG4 global framework has gravitated towards “G and T” heavy as development support has increasingly been framed by performance related aid that relates tranche releases to narrowly defined and measurable outcomes. There are signs of </w:t>
      </w:r>
      <w:r w:rsidR="00EB34B8" w:rsidRPr="00264F3F">
        <w:rPr>
          <w:rFonts w:ascii="Times New Roman" w:hAnsi="Times New Roman"/>
          <w:sz w:val="24"/>
          <w:szCs w:val="24"/>
        </w:rPr>
        <w:t>increase</w:t>
      </w:r>
      <w:r w:rsidR="00EB34B8">
        <w:rPr>
          <w:rFonts w:ascii="Times New Roman" w:hAnsi="Times New Roman"/>
          <w:sz w:val="24"/>
          <w:szCs w:val="24"/>
        </w:rPr>
        <w:t>d</w:t>
      </w:r>
      <w:r w:rsidR="00EB34B8" w:rsidRPr="00264F3F">
        <w:rPr>
          <w:rFonts w:ascii="Times New Roman" w:hAnsi="Times New Roman"/>
          <w:sz w:val="24"/>
          <w:szCs w:val="24"/>
        </w:rPr>
        <w:t xml:space="preserve"> standardisation, </w:t>
      </w:r>
      <w:r w:rsidR="00EB34B8">
        <w:rPr>
          <w:rFonts w:ascii="Times New Roman" w:hAnsi="Times New Roman"/>
          <w:sz w:val="24"/>
          <w:szCs w:val="24"/>
        </w:rPr>
        <w:t xml:space="preserve">aid conditionality, and global </w:t>
      </w:r>
      <w:r w:rsidR="00EB34B8" w:rsidRPr="00264F3F">
        <w:rPr>
          <w:rFonts w:ascii="Times New Roman" w:hAnsi="Times New Roman"/>
          <w:sz w:val="24"/>
          <w:szCs w:val="24"/>
        </w:rPr>
        <w:t>convergence in expectations</w:t>
      </w:r>
      <w:r w:rsidR="00EB34B8">
        <w:rPr>
          <w:rFonts w:ascii="Times New Roman" w:hAnsi="Times New Roman"/>
          <w:sz w:val="24"/>
          <w:szCs w:val="24"/>
        </w:rPr>
        <w:t xml:space="preserve">. This risks </w:t>
      </w:r>
      <w:r w:rsidR="00EB34B8" w:rsidRPr="00264F3F">
        <w:rPr>
          <w:rFonts w:ascii="Times New Roman" w:hAnsi="Times New Roman"/>
          <w:sz w:val="24"/>
          <w:szCs w:val="24"/>
        </w:rPr>
        <w:t xml:space="preserve">a lack of situation specific relevance, limited resilience and </w:t>
      </w:r>
      <w:r w:rsidR="00EB34B8">
        <w:rPr>
          <w:rFonts w:ascii="Times New Roman" w:hAnsi="Times New Roman"/>
          <w:sz w:val="24"/>
          <w:szCs w:val="24"/>
        </w:rPr>
        <w:t>conflict over divergent</w:t>
      </w:r>
      <w:r w:rsidR="00EB34B8" w:rsidRPr="00264F3F">
        <w:rPr>
          <w:rFonts w:ascii="Times New Roman" w:hAnsi="Times New Roman"/>
          <w:sz w:val="24"/>
          <w:szCs w:val="24"/>
        </w:rPr>
        <w:t xml:space="preserve"> in aspirations</w:t>
      </w:r>
      <w:r w:rsidR="00EB34B8">
        <w:rPr>
          <w:rFonts w:ascii="Times New Roman" w:hAnsi="Times New Roman"/>
          <w:sz w:val="24"/>
          <w:szCs w:val="24"/>
        </w:rPr>
        <w:t xml:space="preserve">. </w:t>
      </w:r>
    </w:p>
    <w:p w14:paraId="637230A9" w14:textId="77777777" w:rsidR="00DB5EF4" w:rsidRDefault="00DB5EF4" w:rsidP="006639D0">
      <w:pPr>
        <w:jc w:val="both"/>
        <w:rPr>
          <w:rFonts w:ascii="Times New Roman" w:hAnsi="Times New Roman"/>
          <w:sz w:val="24"/>
          <w:szCs w:val="24"/>
        </w:rPr>
      </w:pPr>
    </w:p>
    <w:p w14:paraId="507196E3" w14:textId="34A0146B" w:rsidR="00420CB8" w:rsidRPr="00264F3F" w:rsidRDefault="00452058" w:rsidP="006639D0">
      <w:pPr>
        <w:jc w:val="both"/>
        <w:rPr>
          <w:rFonts w:ascii="Times New Roman" w:hAnsi="Times New Roman"/>
          <w:sz w:val="24"/>
          <w:szCs w:val="24"/>
        </w:rPr>
      </w:pPr>
      <w:r>
        <w:rPr>
          <w:rFonts w:ascii="Times New Roman" w:hAnsi="Times New Roman"/>
          <w:sz w:val="24"/>
          <w:szCs w:val="24"/>
        </w:rPr>
        <w:t xml:space="preserve"> </w:t>
      </w:r>
      <w:r w:rsidR="00420CB8">
        <w:rPr>
          <w:rFonts w:ascii="Times New Roman" w:hAnsi="Times New Roman"/>
          <w:sz w:val="24"/>
          <w:szCs w:val="24"/>
        </w:rPr>
        <w:t xml:space="preserve">“G and T” Rest in Peace </w:t>
      </w:r>
      <w:r>
        <w:rPr>
          <w:rFonts w:ascii="Times New Roman" w:hAnsi="Times New Roman"/>
          <w:sz w:val="24"/>
          <w:szCs w:val="24"/>
        </w:rPr>
        <w:t xml:space="preserve">may have been the preference of some of the delegates who toiled late into the night at the many SDG related meetings. But it was not a preference of the development partners who needed the global framework to define their programming. As </w:t>
      </w:r>
      <w:r w:rsidR="002C45B8">
        <w:rPr>
          <w:rFonts w:ascii="Times New Roman" w:hAnsi="Times New Roman"/>
          <w:sz w:val="24"/>
          <w:szCs w:val="24"/>
        </w:rPr>
        <w:t xml:space="preserve">low income countries become richer, as </w:t>
      </w:r>
      <w:r>
        <w:rPr>
          <w:rFonts w:ascii="Times New Roman" w:hAnsi="Times New Roman"/>
          <w:sz w:val="24"/>
          <w:szCs w:val="24"/>
        </w:rPr>
        <w:t xml:space="preserve">development assistance plateaus and </w:t>
      </w:r>
      <w:r w:rsidR="002C45B8">
        <w:rPr>
          <w:rFonts w:ascii="Times New Roman" w:hAnsi="Times New Roman"/>
          <w:sz w:val="24"/>
          <w:szCs w:val="24"/>
        </w:rPr>
        <w:t xml:space="preserve">as </w:t>
      </w:r>
      <w:r>
        <w:rPr>
          <w:rFonts w:ascii="Times New Roman" w:hAnsi="Times New Roman"/>
          <w:sz w:val="24"/>
          <w:szCs w:val="24"/>
        </w:rPr>
        <w:t xml:space="preserve">populist politics in rich countries </w:t>
      </w:r>
      <w:r w:rsidR="002C45B8">
        <w:rPr>
          <w:rFonts w:ascii="Times New Roman" w:hAnsi="Times New Roman"/>
          <w:sz w:val="24"/>
          <w:szCs w:val="24"/>
        </w:rPr>
        <w:t xml:space="preserve">undermines the appetite for more aid, </w:t>
      </w:r>
      <w:r>
        <w:rPr>
          <w:rFonts w:ascii="Times New Roman" w:hAnsi="Times New Roman"/>
          <w:sz w:val="24"/>
          <w:szCs w:val="24"/>
        </w:rPr>
        <w:t xml:space="preserve">it </w:t>
      </w:r>
      <w:r w:rsidR="002C45B8">
        <w:rPr>
          <w:rFonts w:ascii="Times New Roman" w:hAnsi="Times New Roman"/>
          <w:sz w:val="24"/>
          <w:szCs w:val="24"/>
        </w:rPr>
        <w:t xml:space="preserve">will become clear whether </w:t>
      </w:r>
      <w:r>
        <w:rPr>
          <w:rFonts w:ascii="Times New Roman" w:hAnsi="Times New Roman"/>
          <w:sz w:val="24"/>
          <w:szCs w:val="24"/>
        </w:rPr>
        <w:t xml:space="preserve">global </w:t>
      </w:r>
      <w:r w:rsidR="002C45B8">
        <w:rPr>
          <w:rFonts w:ascii="Times New Roman" w:hAnsi="Times New Roman"/>
          <w:sz w:val="24"/>
          <w:szCs w:val="24"/>
        </w:rPr>
        <w:t xml:space="preserve">goals and targets for education are demand driven by countries or supply led by development partners. </w:t>
      </w:r>
      <w:r>
        <w:rPr>
          <w:rFonts w:ascii="Times New Roman" w:hAnsi="Times New Roman"/>
          <w:sz w:val="24"/>
          <w:szCs w:val="24"/>
        </w:rPr>
        <w:t xml:space="preserve">  </w:t>
      </w:r>
    </w:p>
    <w:p w14:paraId="6828A881" w14:textId="77777777" w:rsidR="00581431" w:rsidRPr="00264F3F" w:rsidRDefault="00581431" w:rsidP="00264F3F">
      <w:pPr>
        <w:jc w:val="both"/>
        <w:rPr>
          <w:rFonts w:ascii="Times New Roman" w:hAnsi="Times New Roman"/>
          <w:sz w:val="24"/>
          <w:szCs w:val="24"/>
        </w:rPr>
      </w:pPr>
    </w:p>
    <w:p w14:paraId="63AB6603" w14:textId="73B66DDF" w:rsidR="00581431" w:rsidRDefault="00F42A09" w:rsidP="00264F3F">
      <w:pPr>
        <w:jc w:val="both"/>
        <w:rPr>
          <w:rFonts w:ascii="Times New Roman" w:hAnsi="Times New Roman"/>
          <w:sz w:val="24"/>
          <w:szCs w:val="24"/>
        </w:rPr>
      </w:pPr>
      <w:r>
        <w:rPr>
          <w:rFonts w:ascii="Times New Roman" w:hAnsi="Times New Roman"/>
          <w:sz w:val="24"/>
          <w:szCs w:val="24"/>
        </w:rPr>
        <w:t xml:space="preserve">In 2015 SDG 4 was endorsed at the WEF in Incheon. </w:t>
      </w:r>
      <w:r w:rsidR="00581431" w:rsidRPr="00264F3F">
        <w:rPr>
          <w:rFonts w:ascii="Times New Roman" w:hAnsi="Times New Roman"/>
          <w:sz w:val="24"/>
          <w:szCs w:val="24"/>
        </w:rPr>
        <w:t>The result was a set of S</w:t>
      </w:r>
      <w:r>
        <w:rPr>
          <w:rFonts w:ascii="Times New Roman" w:hAnsi="Times New Roman"/>
          <w:sz w:val="24"/>
          <w:szCs w:val="24"/>
        </w:rPr>
        <w:t xml:space="preserve">DGs that closely resembled the goals and targets </w:t>
      </w:r>
      <w:r w:rsidR="00581431" w:rsidRPr="00264F3F">
        <w:rPr>
          <w:rFonts w:ascii="Times New Roman" w:hAnsi="Times New Roman"/>
          <w:sz w:val="24"/>
          <w:szCs w:val="24"/>
        </w:rPr>
        <w:t>of Education for All in 2000, or even EFA in 1990.  Several of the existing goals were retained or rolled over from the DTs and MDGs. SDGs 4.1,</w:t>
      </w:r>
      <w:r w:rsidR="004E0619">
        <w:rPr>
          <w:rFonts w:ascii="Times New Roman" w:hAnsi="Times New Roman"/>
          <w:sz w:val="24"/>
          <w:szCs w:val="24"/>
        </w:rPr>
        <w:t xml:space="preserve"> 4.2,</w:t>
      </w:r>
      <w:r w:rsidR="00581431" w:rsidRPr="00264F3F">
        <w:rPr>
          <w:rFonts w:ascii="Times New Roman" w:hAnsi="Times New Roman"/>
          <w:sz w:val="24"/>
          <w:szCs w:val="24"/>
        </w:rPr>
        <w:t xml:space="preserve"> </w:t>
      </w:r>
      <w:r w:rsidR="004E0619">
        <w:rPr>
          <w:rFonts w:ascii="Times New Roman" w:hAnsi="Times New Roman"/>
          <w:sz w:val="24"/>
          <w:szCs w:val="24"/>
        </w:rPr>
        <w:t xml:space="preserve">4.3, 4.4, </w:t>
      </w:r>
      <w:r w:rsidR="00581431" w:rsidRPr="00264F3F">
        <w:rPr>
          <w:rFonts w:ascii="Times New Roman" w:hAnsi="Times New Roman"/>
          <w:sz w:val="24"/>
          <w:szCs w:val="24"/>
        </w:rPr>
        <w:t xml:space="preserve">4.5, </w:t>
      </w:r>
      <w:r w:rsidR="004E0619">
        <w:rPr>
          <w:rFonts w:ascii="Times New Roman" w:hAnsi="Times New Roman"/>
          <w:sz w:val="24"/>
          <w:szCs w:val="24"/>
        </w:rPr>
        <w:t xml:space="preserve">and </w:t>
      </w:r>
      <w:r w:rsidR="00581431" w:rsidRPr="00264F3F">
        <w:rPr>
          <w:rFonts w:ascii="Times New Roman" w:hAnsi="Times New Roman"/>
          <w:sz w:val="24"/>
          <w:szCs w:val="24"/>
        </w:rPr>
        <w:t xml:space="preserve">4.6 have clear analogues in the EFA architecture. They emerged early in the Commonwealth deliberations </w:t>
      </w:r>
      <w:r>
        <w:rPr>
          <w:rFonts w:ascii="Times New Roman" w:hAnsi="Times New Roman"/>
          <w:sz w:val="24"/>
          <w:szCs w:val="24"/>
        </w:rPr>
        <w:t xml:space="preserve">too </w:t>
      </w:r>
      <w:r w:rsidR="00581431" w:rsidRPr="00264F3F">
        <w:rPr>
          <w:rFonts w:ascii="Times New Roman" w:hAnsi="Times New Roman"/>
          <w:sz w:val="24"/>
          <w:szCs w:val="24"/>
        </w:rPr>
        <w:t xml:space="preserve">which added weight </w:t>
      </w:r>
      <w:r w:rsidR="00EB34B8">
        <w:rPr>
          <w:rFonts w:ascii="Times New Roman" w:hAnsi="Times New Roman"/>
          <w:sz w:val="24"/>
          <w:szCs w:val="24"/>
        </w:rPr>
        <w:t xml:space="preserve">and refinement </w:t>
      </w:r>
      <w:r w:rsidR="00581431" w:rsidRPr="00264F3F">
        <w:rPr>
          <w:rFonts w:ascii="Times New Roman" w:hAnsi="Times New Roman"/>
          <w:sz w:val="24"/>
          <w:szCs w:val="24"/>
        </w:rPr>
        <w:t>to their later inclusion in the SDG4. The Commonwealth framework also anticipated the inclusion of preschool participation in its sub-ordinate goals, adequate teaching staff to support higher level of participation, and included a concern for education related directl</w:t>
      </w:r>
      <w:r w:rsidR="00EB34B8">
        <w:rPr>
          <w:rFonts w:ascii="Times New Roman" w:hAnsi="Times New Roman"/>
          <w:sz w:val="24"/>
          <w:szCs w:val="24"/>
        </w:rPr>
        <w:t>y to livelihoods and employment</w:t>
      </w:r>
      <w:r w:rsidR="00581431" w:rsidRPr="00264F3F">
        <w:rPr>
          <w:rFonts w:ascii="Times New Roman" w:hAnsi="Times New Roman"/>
          <w:sz w:val="24"/>
          <w:szCs w:val="24"/>
        </w:rPr>
        <w:t xml:space="preserve">. </w:t>
      </w:r>
    </w:p>
    <w:p w14:paraId="063ED1F8" w14:textId="07C5CF92" w:rsidR="002C45B8" w:rsidRDefault="002C45B8" w:rsidP="002C45B8">
      <w:pPr>
        <w:pStyle w:val="Heading2"/>
      </w:pPr>
      <w:bookmarkStart w:id="6" w:name="_Toc421181404"/>
      <w:r w:rsidRPr="004E0619">
        <w:t xml:space="preserve">The Commonwealth </w:t>
      </w:r>
      <w:r>
        <w:t>Framework</w:t>
      </w:r>
      <w:r w:rsidRPr="004E0619">
        <w:t xml:space="preserve"> </w:t>
      </w:r>
      <w:r w:rsidR="002E30CE">
        <w:t>and the SDGs</w:t>
      </w:r>
      <w:bookmarkEnd w:id="6"/>
    </w:p>
    <w:p w14:paraId="0846267A" w14:textId="77777777" w:rsidR="002C45B8" w:rsidRPr="00264F3F" w:rsidRDefault="002C45B8" w:rsidP="00264F3F">
      <w:pPr>
        <w:jc w:val="both"/>
        <w:rPr>
          <w:rFonts w:ascii="Times New Roman" w:hAnsi="Times New Roman"/>
          <w:sz w:val="24"/>
          <w:szCs w:val="24"/>
        </w:rPr>
      </w:pPr>
    </w:p>
    <w:p w14:paraId="41757CA6" w14:textId="3727C1F7" w:rsidR="00581431" w:rsidRPr="00264F3F" w:rsidRDefault="00F42A09" w:rsidP="00264F3F">
      <w:pPr>
        <w:jc w:val="both"/>
        <w:rPr>
          <w:rFonts w:ascii="Times New Roman" w:hAnsi="Times New Roman"/>
          <w:sz w:val="24"/>
          <w:szCs w:val="24"/>
        </w:rPr>
      </w:pPr>
      <w:r>
        <w:rPr>
          <w:rFonts w:ascii="Times New Roman" w:hAnsi="Times New Roman"/>
          <w:sz w:val="24"/>
          <w:szCs w:val="24"/>
        </w:rPr>
        <w:t xml:space="preserve">Several </w:t>
      </w:r>
      <w:r w:rsidR="00581431" w:rsidRPr="00264F3F">
        <w:rPr>
          <w:rFonts w:ascii="Times New Roman" w:hAnsi="Times New Roman"/>
          <w:sz w:val="24"/>
          <w:szCs w:val="24"/>
        </w:rPr>
        <w:t>points stand out</w:t>
      </w:r>
      <w:r w:rsidR="00EB34B8">
        <w:rPr>
          <w:rFonts w:ascii="Times New Roman" w:hAnsi="Times New Roman"/>
          <w:sz w:val="24"/>
          <w:szCs w:val="24"/>
        </w:rPr>
        <w:t xml:space="preserve"> that illu</w:t>
      </w:r>
      <w:r w:rsidR="00745DDF">
        <w:rPr>
          <w:rFonts w:ascii="Times New Roman" w:hAnsi="Times New Roman"/>
          <w:sz w:val="24"/>
          <w:szCs w:val="24"/>
        </w:rPr>
        <w:t>strate interaction between the C</w:t>
      </w:r>
      <w:r w:rsidR="00EB34B8">
        <w:rPr>
          <w:rFonts w:ascii="Times New Roman" w:hAnsi="Times New Roman"/>
          <w:sz w:val="24"/>
          <w:szCs w:val="24"/>
        </w:rPr>
        <w:t>MGT Framework and SDG4</w:t>
      </w:r>
      <w:r w:rsidR="003E24DD">
        <w:rPr>
          <w:rFonts w:ascii="Times New Roman" w:hAnsi="Times New Roman"/>
          <w:sz w:val="24"/>
          <w:szCs w:val="24"/>
        </w:rPr>
        <w:t xml:space="preserve"> </w:t>
      </w:r>
    </w:p>
    <w:p w14:paraId="533BB3EF" w14:textId="77777777" w:rsidR="00581431" w:rsidRPr="00264F3F" w:rsidRDefault="00581431" w:rsidP="00264F3F">
      <w:pPr>
        <w:jc w:val="both"/>
        <w:rPr>
          <w:rFonts w:ascii="Times New Roman" w:hAnsi="Times New Roman"/>
          <w:sz w:val="24"/>
          <w:szCs w:val="24"/>
        </w:rPr>
      </w:pPr>
    </w:p>
    <w:p w14:paraId="3472CA8A" w14:textId="1640AB60" w:rsidR="00581431" w:rsidRPr="00264F3F" w:rsidRDefault="00100389" w:rsidP="00264F3F">
      <w:pPr>
        <w:jc w:val="both"/>
        <w:rPr>
          <w:rFonts w:ascii="Times New Roman" w:hAnsi="Times New Roman"/>
          <w:sz w:val="24"/>
          <w:szCs w:val="24"/>
        </w:rPr>
      </w:pPr>
      <w:r>
        <w:rPr>
          <w:rFonts w:ascii="Times New Roman" w:hAnsi="Times New Roman"/>
          <w:sz w:val="24"/>
          <w:szCs w:val="24"/>
        </w:rPr>
        <w:t>T</w:t>
      </w:r>
      <w:r w:rsidR="00581431" w:rsidRPr="00264F3F">
        <w:rPr>
          <w:rFonts w:ascii="Times New Roman" w:hAnsi="Times New Roman"/>
          <w:sz w:val="24"/>
          <w:szCs w:val="24"/>
        </w:rPr>
        <w:t xml:space="preserve">he CMGTs endorsed the commitment to a full cycle of 9 years of free continuous basic education leading to learning achievement in </w:t>
      </w:r>
      <w:r w:rsidR="00EB34B8">
        <w:rPr>
          <w:rFonts w:ascii="Times New Roman" w:hAnsi="Times New Roman"/>
          <w:sz w:val="24"/>
          <w:szCs w:val="24"/>
        </w:rPr>
        <w:t>line with national norms</w:t>
      </w:r>
      <w:r w:rsidR="00581431" w:rsidRPr="00264F3F">
        <w:rPr>
          <w:rFonts w:ascii="Times New Roman" w:hAnsi="Times New Roman"/>
          <w:sz w:val="24"/>
          <w:szCs w:val="24"/>
        </w:rPr>
        <w:t>. SDG4 is now widely inte</w:t>
      </w:r>
      <w:r w:rsidR="004E0619">
        <w:rPr>
          <w:rFonts w:ascii="Times New Roman" w:hAnsi="Times New Roman"/>
          <w:sz w:val="24"/>
          <w:szCs w:val="24"/>
        </w:rPr>
        <w:t>rpreted as requiri</w:t>
      </w:r>
      <w:r w:rsidR="002C45B8">
        <w:rPr>
          <w:rFonts w:ascii="Times New Roman" w:hAnsi="Times New Roman"/>
          <w:sz w:val="24"/>
          <w:szCs w:val="24"/>
        </w:rPr>
        <w:t>ng s</w:t>
      </w:r>
      <w:r w:rsidR="00581431" w:rsidRPr="00264F3F">
        <w:rPr>
          <w:rFonts w:ascii="Times New Roman" w:hAnsi="Times New Roman"/>
          <w:sz w:val="24"/>
          <w:szCs w:val="24"/>
        </w:rPr>
        <w:t xml:space="preserve">tates to provide 12 years of formal education to all citizens. </w:t>
      </w:r>
      <w:r w:rsidR="002C45B8">
        <w:rPr>
          <w:rFonts w:ascii="Times New Roman" w:hAnsi="Times New Roman"/>
          <w:sz w:val="24"/>
          <w:szCs w:val="24"/>
        </w:rPr>
        <w:t>In</w:t>
      </w:r>
      <w:r w:rsidR="00EB34B8">
        <w:rPr>
          <w:rFonts w:ascii="Times New Roman" w:hAnsi="Times New Roman"/>
          <w:sz w:val="24"/>
          <w:szCs w:val="24"/>
        </w:rPr>
        <w:t xml:space="preserve"> LICs T</w:t>
      </w:r>
      <w:r w:rsidR="00F86DB5">
        <w:rPr>
          <w:rFonts w:ascii="Times New Roman" w:hAnsi="Times New Roman"/>
          <w:sz w:val="24"/>
          <w:szCs w:val="24"/>
        </w:rPr>
        <w:t xml:space="preserve">his </w:t>
      </w:r>
      <w:r w:rsidR="00581431" w:rsidRPr="00264F3F">
        <w:rPr>
          <w:rFonts w:ascii="Times New Roman" w:hAnsi="Times New Roman"/>
          <w:sz w:val="24"/>
          <w:szCs w:val="24"/>
        </w:rPr>
        <w:t xml:space="preserve">implies retaining children in school when </w:t>
      </w:r>
      <w:r w:rsidR="004E0619">
        <w:rPr>
          <w:rFonts w:ascii="Times New Roman" w:hAnsi="Times New Roman"/>
          <w:sz w:val="24"/>
          <w:szCs w:val="24"/>
        </w:rPr>
        <w:t xml:space="preserve">well </w:t>
      </w:r>
      <w:r w:rsidR="00581431" w:rsidRPr="00264F3F">
        <w:rPr>
          <w:rFonts w:ascii="Times New Roman" w:hAnsi="Times New Roman"/>
          <w:sz w:val="24"/>
          <w:szCs w:val="24"/>
        </w:rPr>
        <w:t>over the legal minimum age for work</w:t>
      </w:r>
      <w:r w:rsidR="00EB34B8">
        <w:rPr>
          <w:rFonts w:ascii="Times New Roman" w:hAnsi="Times New Roman"/>
          <w:sz w:val="24"/>
          <w:szCs w:val="24"/>
        </w:rPr>
        <w:t xml:space="preserve"> in many CMSs.</w:t>
      </w:r>
      <w:r w:rsidR="004E0619">
        <w:rPr>
          <w:rFonts w:ascii="Times New Roman" w:hAnsi="Times New Roman"/>
          <w:sz w:val="24"/>
          <w:szCs w:val="24"/>
        </w:rPr>
        <w:t xml:space="preserve"> </w:t>
      </w:r>
      <w:r w:rsidR="00C0238F">
        <w:rPr>
          <w:rFonts w:ascii="Times New Roman" w:hAnsi="Times New Roman"/>
          <w:sz w:val="24"/>
          <w:szCs w:val="24"/>
        </w:rPr>
        <w:t>The SDG has created</w:t>
      </w:r>
      <w:r w:rsidR="00581431" w:rsidRPr="00264F3F">
        <w:rPr>
          <w:rFonts w:ascii="Times New Roman" w:hAnsi="Times New Roman"/>
          <w:sz w:val="24"/>
          <w:szCs w:val="24"/>
        </w:rPr>
        <w:t xml:space="preserve"> an apparent anomaly – 54% of children out of school according to the GEMR are 16 years old or older, and 75% at 14 years or older. These are global aspirations transplanted to countries where the trade offs necessary to achieve the goals look very different to those in rich CMCs. </w:t>
      </w:r>
      <w:r w:rsidR="00C0238F">
        <w:rPr>
          <w:rFonts w:ascii="Times New Roman" w:hAnsi="Times New Roman"/>
          <w:sz w:val="24"/>
          <w:szCs w:val="24"/>
        </w:rPr>
        <w:t xml:space="preserve">Rich country levels of provision need rich country demography and revenue raising commitments. </w:t>
      </w:r>
      <w:r w:rsidR="00581431" w:rsidRPr="00264F3F">
        <w:rPr>
          <w:rFonts w:ascii="Times New Roman" w:hAnsi="Times New Roman"/>
          <w:sz w:val="24"/>
          <w:szCs w:val="24"/>
        </w:rPr>
        <w:t xml:space="preserve">   </w:t>
      </w:r>
    </w:p>
    <w:p w14:paraId="32D0ED7F" w14:textId="77777777" w:rsidR="00581431" w:rsidRDefault="00581431" w:rsidP="00264F3F">
      <w:pPr>
        <w:jc w:val="both"/>
        <w:rPr>
          <w:rFonts w:ascii="Times New Roman" w:hAnsi="Times New Roman"/>
          <w:sz w:val="24"/>
          <w:szCs w:val="24"/>
        </w:rPr>
      </w:pPr>
    </w:p>
    <w:p w14:paraId="70A6FDF3" w14:textId="282EE8C6" w:rsidR="003D6CC1" w:rsidRPr="00264F3F" w:rsidRDefault="00D92C0D" w:rsidP="003D6CC1">
      <w:pPr>
        <w:jc w:val="both"/>
        <w:rPr>
          <w:rFonts w:ascii="Times New Roman" w:hAnsi="Times New Roman"/>
          <w:sz w:val="24"/>
          <w:szCs w:val="24"/>
        </w:rPr>
      </w:pPr>
      <w:r>
        <w:rPr>
          <w:rFonts w:ascii="Times New Roman" w:hAnsi="Times New Roman"/>
          <w:sz w:val="24"/>
          <w:szCs w:val="24"/>
        </w:rPr>
        <w:t>The CMGT were deliberately designed to cover the full range of formal educ</w:t>
      </w:r>
      <w:r w:rsidR="00FA44E3">
        <w:rPr>
          <w:rFonts w:ascii="Times New Roman" w:hAnsi="Times New Roman"/>
          <w:sz w:val="24"/>
          <w:szCs w:val="24"/>
        </w:rPr>
        <w:t>ation rather than just one sub-cycle</w:t>
      </w:r>
      <w:r>
        <w:rPr>
          <w:rFonts w:ascii="Times New Roman" w:hAnsi="Times New Roman"/>
          <w:sz w:val="24"/>
          <w:szCs w:val="24"/>
        </w:rPr>
        <w:t xml:space="preserve">. There was a view in part of the World Bank and UNICEF that a single simple goal at the level of early grade achievement would provide a universal focus for reform but this narrow view was rejected partly as a result of influence from the CMGT. </w:t>
      </w:r>
      <w:r w:rsidR="003D6CC1" w:rsidRPr="00264F3F">
        <w:rPr>
          <w:rFonts w:ascii="Times New Roman" w:hAnsi="Times New Roman"/>
          <w:sz w:val="24"/>
          <w:szCs w:val="24"/>
        </w:rPr>
        <w:t xml:space="preserve">SDG4 has blended commitment to universal access at </w:t>
      </w:r>
      <w:r w:rsidR="003D6CC1">
        <w:rPr>
          <w:rFonts w:ascii="Times New Roman" w:hAnsi="Times New Roman"/>
          <w:sz w:val="24"/>
          <w:szCs w:val="24"/>
        </w:rPr>
        <w:t xml:space="preserve">both </w:t>
      </w:r>
      <w:r w:rsidR="003D6CC1" w:rsidRPr="00264F3F">
        <w:rPr>
          <w:rFonts w:ascii="Times New Roman" w:hAnsi="Times New Roman"/>
          <w:sz w:val="24"/>
          <w:szCs w:val="24"/>
        </w:rPr>
        <w:t>primary and secondary level into one goal. The CMGT deliberately kept basic education up to grade 9 separate from post basic educa</w:t>
      </w:r>
      <w:r w:rsidR="003D6CC1">
        <w:rPr>
          <w:rFonts w:ascii="Times New Roman" w:hAnsi="Times New Roman"/>
          <w:sz w:val="24"/>
          <w:szCs w:val="24"/>
        </w:rPr>
        <w:t xml:space="preserve">tion. </w:t>
      </w:r>
      <w:proofErr w:type="gramStart"/>
      <w:r w:rsidR="003D6CC1">
        <w:rPr>
          <w:rFonts w:ascii="Times New Roman" w:hAnsi="Times New Roman"/>
          <w:sz w:val="24"/>
          <w:szCs w:val="24"/>
        </w:rPr>
        <w:t>to</w:t>
      </w:r>
      <w:proofErr w:type="gramEnd"/>
      <w:r w:rsidR="003D6CC1">
        <w:rPr>
          <w:rFonts w:ascii="Times New Roman" w:hAnsi="Times New Roman"/>
          <w:sz w:val="24"/>
          <w:szCs w:val="24"/>
        </w:rPr>
        <w:t xml:space="preserve"> reduce</w:t>
      </w:r>
      <w:r w:rsidR="003D6CC1" w:rsidRPr="00264F3F">
        <w:rPr>
          <w:rFonts w:ascii="Times New Roman" w:hAnsi="Times New Roman"/>
          <w:sz w:val="24"/>
          <w:szCs w:val="24"/>
        </w:rPr>
        <w:t xml:space="preserve"> the pressure </w:t>
      </w:r>
      <w:r w:rsidR="003D6CC1">
        <w:rPr>
          <w:rFonts w:ascii="Times New Roman" w:hAnsi="Times New Roman"/>
          <w:sz w:val="24"/>
          <w:szCs w:val="24"/>
        </w:rPr>
        <w:t xml:space="preserve">in LICs </w:t>
      </w:r>
      <w:r w:rsidR="003D6CC1" w:rsidRPr="00264F3F">
        <w:rPr>
          <w:rFonts w:ascii="Times New Roman" w:hAnsi="Times New Roman"/>
          <w:sz w:val="24"/>
          <w:szCs w:val="24"/>
        </w:rPr>
        <w:t>to commi</w:t>
      </w:r>
      <w:r w:rsidR="003D6CC1">
        <w:rPr>
          <w:rFonts w:ascii="Times New Roman" w:hAnsi="Times New Roman"/>
          <w:sz w:val="24"/>
          <w:szCs w:val="24"/>
        </w:rPr>
        <w:t xml:space="preserve">t to unrealisable goals in </w:t>
      </w:r>
      <w:r w:rsidR="003D6CC1" w:rsidRPr="00264F3F">
        <w:rPr>
          <w:rFonts w:ascii="Times New Roman" w:hAnsi="Times New Roman"/>
          <w:sz w:val="24"/>
          <w:szCs w:val="24"/>
        </w:rPr>
        <w:t>of universal levels of participation for children</w:t>
      </w:r>
      <w:r w:rsidR="003D6CC1">
        <w:rPr>
          <w:rFonts w:ascii="Times New Roman" w:hAnsi="Times New Roman"/>
          <w:sz w:val="24"/>
          <w:szCs w:val="24"/>
        </w:rPr>
        <w:t xml:space="preserve"> through upper secondary school and </w:t>
      </w:r>
      <w:r w:rsidR="003D6CC1" w:rsidRPr="00264F3F">
        <w:rPr>
          <w:rFonts w:ascii="Times New Roman" w:hAnsi="Times New Roman"/>
          <w:sz w:val="24"/>
          <w:szCs w:val="24"/>
        </w:rPr>
        <w:t>up to their late te</w:t>
      </w:r>
      <w:r w:rsidR="003D6CC1">
        <w:rPr>
          <w:rFonts w:ascii="Times New Roman" w:hAnsi="Times New Roman"/>
          <w:sz w:val="24"/>
          <w:szCs w:val="24"/>
        </w:rPr>
        <w:t xml:space="preserve">ens. </w:t>
      </w:r>
      <w:r w:rsidR="003D6CC1" w:rsidRPr="00264F3F">
        <w:rPr>
          <w:rFonts w:ascii="Times New Roman" w:hAnsi="Times New Roman"/>
          <w:sz w:val="24"/>
          <w:szCs w:val="24"/>
        </w:rPr>
        <w:t>Unlike SDG4 which has three Targets for TVET (4.3/4/5)</w:t>
      </w:r>
      <w:r w:rsidR="003D6CC1">
        <w:rPr>
          <w:rFonts w:ascii="Times New Roman" w:hAnsi="Times New Roman"/>
          <w:sz w:val="24"/>
          <w:szCs w:val="24"/>
        </w:rPr>
        <w:t xml:space="preserve">, the CMGT has a single </w:t>
      </w:r>
      <w:proofErr w:type="gramStart"/>
      <w:r w:rsidR="003D6CC1">
        <w:rPr>
          <w:rFonts w:ascii="Times New Roman" w:hAnsi="Times New Roman"/>
          <w:sz w:val="24"/>
          <w:szCs w:val="24"/>
        </w:rPr>
        <w:t>goal  that</w:t>
      </w:r>
      <w:proofErr w:type="gramEnd"/>
      <w:r w:rsidR="003D6CC1" w:rsidRPr="00264F3F">
        <w:rPr>
          <w:rFonts w:ascii="Times New Roman" w:hAnsi="Times New Roman"/>
          <w:sz w:val="24"/>
          <w:szCs w:val="24"/>
        </w:rPr>
        <w:t xml:space="preserve"> </w:t>
      </w:r>
      <w:r w:rsidR="003D6CC1">
        <w:rPr>
          <w:rFonts w:ascii="Times New Roman" w:hAnsi="Times New Roman"/>
          <w:sz w:val="24"/>
          <w:szCs w:val="24"/>
        </w:rPr>
        <w:t>emphasises the importance of a full range of</w:t>
      </w:r>
      <w:r w:rsidR="003D6CC1" w:rsidRPr="00264F3F">
        <w:rPr>
          <w:rFonts w:ascii="Times New Roman" w:hAnsi="Times New Roman"/>
          <w:sz w:val="24"/>
          <w:szCs w:val="24"/>
        </w:rPr>
        <w:t xml:space="preserve"> post basic education having relevance to employme</w:t>
      </w:r>
      <w:r w:rsidR="003D6CC1">
        <w:rPr>
          <w:rFonts w:ascii="Times New Roman" w:hAnsi="Times New Roman"/>
          <w:sz w:val="24"/>
          <w:szCs w:val="24"/>
        </w:rPr>
        <w:t>nt livelihoods and well being</w:t>
      </w:r>
      <w:r w:rsidR="003D6CC1" w:rsidRPr="00264F3F">
        <w:rPr>
          <w:rFonts w:ascii="Times New Roman" w:hAnsi="Times New Roman"/>
          <w:sz w:val="24"/>
          <w:szCs w:val="24"/>
        </w:rPr>
        <w:t xml:space="preserve">.      </w:t>
      </w:r>
    </w:p>
    <w:p w14:paraId="3C2C102C" w14:textId="77777777" w:rsidR="00FA44E3" w:rsidRDefault="00FA44E3" w:rsidP="00264F3F">
      <w:pPr>
        <w:jc w:val="both"/>
        <w:rPr>
          <w:rFonts w:ascii="Times New Roman" w:hAnsi="Times New Roman"/>
          <w:sz w:val="24"/>
          <w:szCs w:val="24"/>
        </w:rPr>
      </w:pPr>
    </w:p>
    <w:p w14:paraId="1433E10E" w14:textId="0DEFE1D4" w:rsidR="00581431" w:rsidRPr="00264F3F" w:rsidRDefault="00100389" w:rsidP="00264F3F">
      <w:pPr>
        <w:jc w:val="both"/>
        <w:rPr>
          <w:rFonts w:ascii="Times New Roman" w:hAnsi="Times New Roman"/>
          <w:sz w:val="24"/>
          <w:szCs w:val="24"/>
        </w:rPr>
      </w:pPr>
      <w:r>
        <w:rPr>
          <w:rFonts w:ascii="Times New Roman" w:hAnsi="Times New Roman"/>
          <w:sz w:val="24"/>
          <w:szCs w:val="24"/>
        </w:rPr>
        <w:t>L</w:t>
      </w:r>
      <w:r w:rsidR="00581431" w:rsidRPr="00264F3F">
        <w:rPr>
          <w:rFonts w:ascii="Times New Roman" w:hAnsi="Times New Roman"/>
          <w:sz w:val="24"/>
          <w:szCs w:val="24"/>
        </w:rPr>
        <w:t>earning</w:t>
      </w:r>
      <w:r w:rsidR="003D6CC1">
        <w:rPr>
          <w:rFonts w:ascii="Times New Roman" w:hAnsi="Times New Roman"/>
          <w:sz w:val="24"/>
          <w:szCs w:val="24"/>
        </w:rPr>
        <w:t xml:space="preserve"> outcomes were</w:t>
      </w:r>
      <w:r w:rsidR="00581431" w:rsidRPr="00264F3F">
        <w:rPr>
          <w:rFonts w:ascii="Times New Roman" w:hAnsi="Times New Roman"/>
          <w:sz w:val="24"/>
          <w:szCs w:val="24"/>
        </w:rPr>
        <w:t xml:space="preserve"> stressed in the CMGT as being inseparable from access and national </w:t>
      </w:r>
      <w:r w:rsidR="00AD5780">
        <w:rPr>
          <w:rFonts w:ascii="Times New Roman" w:hAnsi="Times New Roman"/>
          <w:sz w:val="24"/>
          <w:szCs w:val="24"/>
        </w:rPr>
        <w:t xml:space="preserve">aspirations. The SDGs appear to be </w:t>
      </w:r>
      <w:r w:rsidR="00581431" w:rsidRPr="00264F3F">
        <w:rPr>
          <w:rFonts w:ascii="Times New Roman" w:hAnsi="Times New Roman"/>
          <w:sz w:val="24"/>
          <w:szCs w:val="24"/>
        </w:rPr>
        <w:t>privileging international achievement</w:t>
      </w:r>
      <w:r w:rsidR="00AD5780">
        <w:rPr>
          <w:rFonts w:ascii="Times New Roman" w:hAnsi="Times New Roman"/>
          <w:sz w:val="24"/>
          <w:szCs w:val="24"/>
        </w:rPr>
        <w:t xml:space="preserve"> testing over national curricula priorities</w:t>
      </w:r>
      <w:r w:rsidR="00581431" w:rsidRPr="00264F3F">
        <w:rPr>
          <w:rFonts w:ascii="Times New Roman" w:hAnsi="Times New Roman"/>
          <w:sz w:val="24"/>
          <w:szCs w:val="24"/>
        </w:rPr>
        <w:t xml:space="preserve">. This has some merit but also largely ignores the need to develop national curricula that are not all the same, especially at higher levels. </w:t>
      </w:r>
    </w:p>
    <w:p w14:paraId="254D873E" w14:textId="77777777" w:rsidR="00581431" w:rsidRPr="00264F3F" w:rsidRDefault="00581431" w:rsidP="00264F3F">
      <w:pPr>
        <w:jc w:val="both"/>
        <w:rPr>
          <w:rFonts w:ascii="Times New Roman" w:hAnsi="Times New Roman"/>
          <w:sz w:val="24"/>
          <w:szCs w:val="24"/>
        </w:rPr>
      </w:pPr>
    </w:p>
    <w:p w14:paraId="2A4A0EFF" w14:textId="3B91A7E4" w:rsidR="00581431" w:rsidRPr="00264F3F" w:rsidRDefault="00100389" w:rsidP="00264F3F">
      <w:pPr>
        <w:jc w:val="both"/>
        <w:rPr>
          <w:rFonts w:ascii="Times New Roman" w:hAnsi="Times New Roman"/>
          <w:sz w:val="24"/>
          <w:szCs w:val="24"/>
        </w:rPr>
      </w:pPr>
      <w:r>
        <w:rPr>
          <w:rFonts w:ascii="Times New Roman" w:hAnsi="Times New Roman"/>
          <w:sz w:val="24"/>
          <w:szCs w:val="24"/>
        </w:rPr>
        <w:t>I</w:t>
      </w:r>
      <w:r w:rsidR="00581431" w:rsidRPr="00264F3F">
        <w:rPr>
          <w:rFonts w:ascii="Times New Roman" w:hAnsi="Times New Roman"/>
          <w:sz w:val="24"/>
          <w:szCs w:val="24"/>
        </w:rPr>
        <w:t xml:space="preserve">n addition the CMGT deliberately drew attention to the importance of age appropriate progression rates in low income countries where over 30% of children can be two years over age or more with measurable consequences for drop out and levels of achievement. Full enrolment means absence of age grade slippage. This is now </w:t>
      </w:r>
      <w:r w:rsidR="002C45B8">
        <w:rPr>
          <w:rFonts w:ascii="Times New Roman" w:hAnsi="Times New Roman"/>
          <w:sz w:val="24"/>
          <w:szCs w:val="24"/>
        </w:rPr>
        <w:t xml:space="preserve">the concept </w:t>
      </w:r>
      <w:r w:rsidR="00581431" w:rsidRPr="00264F3F">
        <w:rPr>
          <w:rFonts w:ascii="Times New Roman" w:hAnsi="Times New Roman"/>
          <w:sz w:val="24"/>
          <w:szCs w:val="24"/>
        </w:rPr>
        <w:t>being used by UIS as a</w:t>
      </w:r>
      <w:r w:rsidR="002C45B8">
        <w:rPr>
          <w:rFonts w:ascii="Times New Roman" w:hAnsi="Times New Roman"/>
          <w:sz w:val="24"/>
          <w:szCs w:val="24"/>
        </w:rPr>
        <w:t>n</w:t>
      </w:r>
      <w:r w:rsidR="00581431" w:rsidRPr="00264F3F">
        <w:rPr>
          <w:rFonts w:ascii="Times New Roman" w:hAnsi="Times New Roman"/>
          <w:sz w:val="24"/>
          <w:szCs w:val="24"/>
        </w:rPr>
        <w:t xml:space="preserve"> indicator for SDG 4.       </w:t>
      </w:r>
    </w:p>
    <w:p w14:paraId="483D8608" w14:textId="77777777" w:rsidR="00FA44E3" w:rsidRDefault="00FA44E3" w:rsidP="00264F3F">
      <w:pPr>
        <w:jc w:val="both"/>
        <w:rPr>
          <w:rFonts w:ascii="Times New Roman" w:hAnsi="Times New Roman"/>
          <w:sz w:val="24"/>
          <w:szCs w:val="24"/>
        </w:rPr>
      </w:pPr>
    </w:p>
    <w:p w14:paraId="22AAD517" w14:textId="0F4FA5FF" w:rsidR="00581431" w:rsidRPr="00264F3F" w:rsidRDefault="008946F5" w:rsidP="00FA44E3">
      <w:pPr>
        <w:jc w:val="both"/>
        <w:rPr>
          <w:rFonts w:ascii="Times New Roman" w:hAnsi="Times New Roman"/>
          <w:sz w:val="24"/>
          <w:szCs w:val="24"/>
        </w:rPr>
      </w:pPr>
      <w:r>
        <w:rPr>
          <w:rFonts w:ascii="Times New Roman" w:hAnsi="Times New Roman"/>
          <w:sz w:val="24"/>
          <w:szCs w:val="24"/>
        </w:rPr>
        <w:t>Equity</w:t>
      </w:r>
      <w:r w:rsidR="00581431" w:rsidRPr="00264F3F">
        <w:rPr>
          <w:rFonts w:ascii="Times New Roman" w:hAnsi="Times New Roman"/>
          <w:sz w:val="24"/>
          <w:szCs w:val="24"/>
        </w:rPr>
        <w:t xml:space="preserve"> was felt to be so important it warranted its own Goal statement </w:t>
      </w:r>
      <w:r>
        <w:rPr>
          <w:rFonts w:ascii="Times New Roman" w:hAnsi="Times New Roman"/>
          <w:sz w:val="24"/>
          <w:szCs w:val="24"/>
        </w:rPr>
        <w:t>in the CMGT</w:t>
      </w:r>
      <w:r w:rsidR="00FA44E3">
        <w:rPr>
          <w:rFonts w:ascii="Times New Roman" w:hAnsi="Times New Roman"/>
          <w:sz w:val="24"/>
          <w:szCs w:val="24"/>
        </w:rPr>
        <w:t xml:space="preserve"> (Goal 3)</w:t>
      </w:r>
      <w:r>
        <w:rPr>
          <w:rFonts w:ascii="Times New Roman" w:hAnsi="Times New Roman"/>
          <w:sz w:val="24"/>
          <w:szCs w:val="24"/>
        </w:rPr>
        <w:t xml:space="preserve">. </w:t>
      </w:r>
      <w:r w:rsidR="003D6CC1">
        <w:rPr>
          <w:rFonts w:ascii="Times New Roman" w:hAnsi="Times New Roman"/>
          <w:sz w:val="24"/>
          <w:szCs w:val="24"/>
        </w:rPr>
        <w:t>T</w:t>
      </w:r>
      <w:r>
        <w:rPr>
          <w:rFonts w:ascii="Times New Roman" w:hAnsi="Times New Roman"/>
          <w:sz w:val="24"/>
          <w:szCs w:val="24"/>
        </w:rPr>
        <w:t>he</w:t>
      </w:r>
      <w:r w:rsidR="003D6CC1">
        <w:rPr>
          <w:rFonts w:ascii="Times New Roman" w:hAnsi="Times New Roman"/>
          <w:sz w:val="24"/>
          <w:szCs w:val="24"/>
        </w:rPr>
        <w:t xml:space="preserve"> ambition was to shift the focus </w:t>
      </w:r>
      <w:r>
        <w:rPr>
          <w:rFonts w:ascii="Times New Roman" w:hAnsi="Times New Roman"/>
          <w:sz w:val="24"/>
          <w:szCs w:val="24"/>
        </w:rPr>
        <w:t>to persistent inequality</w:t>
      </w:r>
      <w:r w:rsidR="003D6CC1">
        <w:rPr>
          <w:rFonts w:ascii="Times New Roman" w:hAnsi="Times New Roman"/>
          <w:sz w:val="24"/>
          <w:szCs w:val="24"/>
        </w:rPr>
        <w:t xml:space="preserve"> in outcomes. </w:t>
      </w:r>
      <w:r w:rsidR="00581431" w:rsidRPr="00264F3F">
        <w:rPr>
          <w:rFonts w:ascii="Times New Roman" w:hAnsi="Times New Roman"/>
          <w:sz w:val="24"/>
          <w:szCs w:val="24"/>
        </w:rPr>
        <w:t>The SDGs emphasis</w:t>
      </w:r>
      <w:r w:rsidR="003D6CC1">
        <w:rPr>
          <w:rFonts w:ascii="Times New Roman" w:hAnsi="Times New Roman"/>
          <w:sz w:val="24"/>
          <w:szCs w:val="24"/>
        </w:rPr>
        <w:t>e</w:t>
      </w:r>
      <w:r w:rsidR="00581431" w:rsidRPr="00264F3F">
        <w:rPr>
          <w:rFonts w:ascii="Times New Roman" w:hAnsi="Times New Roman"/>
          <w:sz w:val="24"/>
          <w:szCs w:val="24"/>
        </w:rPr>
        <w:t xml:space="preserve"> inequalities of access more than inequalities of outcome, though it is the latter that determine life futures. </w:t>
      </w:r>
    </w:p>
    <w:p w14:paraId="0EBD9C6A" w14:textId="77777777" w:rsidR="00581431" w:rsidRPr="00264F3F" w:rsidRDefault="00581431" w:rsidP="00264F3F">
      <w:pPr>
        <w:jc w:val="both"/>
        <w:rPr>
          <w:rFonts w:ascii="Times New Roman" w:hAnsi="Times New Roman"/>
          <w:sz w:val="24"/>
          <w:szCs w:val="24"/>
        </w:rPr>
      </w:pPr>
    </w:p>
    <w:p w14:paraId="3ECC6BB0" w14:textId="229DDBA5" w:rsidR="00501314" w:rsidRDefault="00100389" w:rsidP="00264F3F">
      <w:pPr>
        <w:jc w:val="both"/>
        <w:rPr>
          <w:rFonts w:ascii="Times New Roman" w:hAnsi="Times New Roman"/>
          <w:sz w:val="24"/>
          <w:szCs w:val="24"/>
        </w:rPr>
      </w:pPr>
      <w:r>
        <w:rPr>
          <w:rFonts w:ascii="Times New Roman" w:hAnsi="Times New Roman"/>
          <w:sz w:val="24"/>
          <w:szCs w:val="24"/>
        </w:rPr>
        <w:t>T</w:t>
      </w:r>
      <w:r w:rsidR="00581431" w:rsidRPr="00264F3F">
        <w:rPr>
          <w:rFonts w:ascii="Times New Roman" w:hAnsi="Times New Roman"/>
          <w:sz w:val="24"/>
          <w:szCs w:val="24"/>
        </w:rPr>
        <w:t>he CMGTs included commitment to ECD and</w:t>
      </w:r>
      <w:r w:rsidR="00FA44E3">
        <w:rPr>
          <w:rFonts w:ascii="Times New Roman" w:hAnsi="Times New Roman"/>
          <w:sz w:val="24"/>
          <w:szCs w:val="24"/>
        </w:rPr>
        <w:t xml:space="preserve"> preschool as a </w:t>
      </w:r>
      <w:proofErr w:type="spellStart"/>
      <w:r w:rsidR="00FA44E3">
        <w:rPr>
          <w:rFonts w:ascii="Times New Roman" w:hAnsi="Times New Roman"/>
          <w:sz w:val="24"/>
          <w:szCs w:val="24"/>
        </w:rPr>
        <w:t>Subgoal</w:t>
      </w:r>
      <w:proofErr w:type="spellEnd"/>
      <w:r w:rsidR="00581431" w:rsidRPr="00264F3F">
        <w:rPr>
          <w:rFonts w:ascii="Times New Roman" w:hAnsi="Times New Roman"/>
          <w:sz w:val="24"/>
          <w:szCs w:val="24"/>
        </w:rPr>
        <w:t>. The SDGs give it prominence as a headline goal</w:t>
      </w:r>
      <w:r w:rsidR="008946F5">
        <w:rPr>
          <w:rFonts w:ascii="Times New Roman" w:hAnsi="Times New Roman"/>
          <w:sz w:val="24"/>
          <w:szCs w:val="24"/>
        </w:rPr>
        <w:t xml:space="preserve">, as did the Dakar Targets in 2000. In contrast </w:t>
      </w:r>
      <w:r w:rsidR="00F42A09">
        <w:rPr>
          <w:rFonts w:ascii="Times New Roman" w:hAnsi="Times New Roman"/>
          <w:sz w:val="24"/>
          <w:szCs w:val="24"/>
        </w:rPr>
        <w:t xml:space="preserve">SDG 4.7 on global citizenship was not anticipated by the </w:t>
      </w:r>
      <w:proofErr w:type="gramStart"/>
      <w:r w:rsidR="00F42A09">
        <w:rPr>
          <w:rFonts w:ascii="Times New Roman" w:hAnsi="Times New Roman"/>
          <w:sz w:val="24"/>
          <w:szCs w:val="24"/>
        </w:rPr>
        <w:t>CMGT</w:t>
      </w:r>
      <w:r w:rsidR="008946F5">
        <w:rPr>
          <w:rFonts w:ascii="Times New Roman" w:hAnsi="Times New Roman"/>
          <w:sz w:val="24"/>
          <w:szCs w:val="24"/>
        </w:rPr>
        <w:t xml:space="preserve"> which</w:t>
      </w:r>
      <w:proofErr w:type="gramEnd"/>
      <w:r w:rsidR="008946F5">
        <w:rPr>
          <w:rFonts w:ascii="Times New Roman" w:hAnsi="Times New Roman"/>
          <w:sz w:val="24"/>
          <w:szCs w:val="24"/>
        </w:rPr>
        <w:t xml:space="preserve"> was more concerned with </w:t>
      </w:r>
      <w:r w:rsidR="00EE008B">
        <w:rPr>
          <w:rFonts w:ascii="Times New Roman" w:hAnsi="Times New Roman"/>
          <w:sz w:val="24"/>
          <w:szCs w:val="24"/>
        </w:rPr>
        <w:t xml:space="preserve">national </w:t>
      </w:r>
      <w:r w:rsidR="008946F5">
        <w:rPr>
          <w:rFonts w:ascii="Times New Roman" w:hAnsi="Times New Roman"/>
          <w:sz w:val="24"/>
          <w:szCs w:val="24"/>
        </w:rPr>
        <w:t>citizenship especially of the growing number of migrants. Thi</w:t>
      </w:r>
      <w:r w:rsidR="00FA44E3">
        <w:rPr>
          <w:rFonts w:ascii="Times New Roman" w:hAnsi="Times New Roman"/>
          <w:sz w:val="24"/>
          <w:szCs w:val="24"/>
        </w:rPr>
        <w:t>s was judged more important than</w:t>
      </w:r>
      <w:r w:rsidR="008946F5">
        <w:rPr>
          <w:rFonts w:ascii="Times New Roman" w:hAnsi="Times New Roman"/>
          <w:sz w:val="24"/>
          <w:szCs w:val="24"/>
        </w:rPr>
        <w:t xml:space="preserve"> a loosely defined concept of global</w:t>
      </w:r>
      <w:r w:rsidR="00FA44E3">
        <w:rPr>
          <w:rFonts w:ascii="Times New Roman" w:hAnsi="Times New Roman"/>
          <w:sz w:val="24"/>
          <w:szCs w:val="24"/>
        </w:rPr>
        <w:t xml:space="preserve"> citizenship that assumes</w:t>
      </w:r>
      <w:r w:rsidR="00244699">
        <w:rPr>
          <w:rFonts w:ascii="Times New Roman" w:hAnsi="Times New Roman"/>
          <w:sz w:val="24"/>
          <w:szCs w:val="24"/>
        </w:rPr>
        <w:t xml:space="preserve"> </w:t>
      </w:r>
      <w:r w:rsidR="00FA44E3">
        <w:rPr>
          <w:rFonts w:ascii="Times New Roman" w:hAnsi="Times New Roman"/>
          <w:sz w:val="24"/>
          <w:szCs w:val="24"/>
        </w:rPr>
        <w:t xml:space="preserve">a </w:t>
      </w:r>
      <w:r w:rsidR="00244699">
        <w:rPr>
          <w:rFonts w:ascii="Times New Roman" w:hAnsi="Times New Roman"/>
          <w:sz w:val="24"/>
          <w:szCs w:val="24"/>
        </w:rPr>
        <w:t>cross-</w:t>
      </w:r>
      <w:r w:rsidR="008946F5">
        <w:rPr>
          <w:rFonts w:ascii="Times New Roman" w:hAnsi="Times New Roman"/>
          <w:sz w:val="24"/>
          <w:szCs w:val="24"/>
        </w:rPr>
        <w:t>cultural consensus on values and politica</w:t>
      </w:r>
      <w:r w:rsidR="00EB34B8">
        <w:rPr>
          <w:rFonts w:ascii="Times New Roman" w:hAnsi="Times New Roman"/>
          <w:sz w:val="24"/>
          <w:szCs w:val="24"/>
        </w:rPr>
        <w:t>l economy that remains elusive.</w:t>
      </w:r>
    </w:p>
    <w:p w14:paraId="5789F2A4" w14:textId="77777777" w:rsidR="006639D0" w:rsidRDefault="006639D0" w:rsidP="00264F3F">
      <w:pPr>
        <w:jc w:val="both"/>
        <w:rPr>
          <w:rFonts w:ascii="Times New Roman" w:hAnsi="Times New Roman"/>
          <w:sz w:val="24"/>
          <w:szCs w:val="24"/>
        </w:rPr>
      </w:pPr>
    </w:p>
    <w:p w14:paraId="48323870" w14:textId="5B8B0417" w:rsidR="00501314" w:rsidRPr="0007750D" w:rsidRDefault="00501314" w:rsidP="00A42C10">
      <w:pPr>
        <w:pStyle w:val="Heading2"/>
      </w:pPr>
      <w:bookmarkStart w:id="7" w:name="_Toc421181405"/>
      <w:r w:rsidRPr="0007750D">
        <w:t xml:space="preserve">Opportunities for the Commonwealth </w:t>
      </w:r>
      <w:r w:rsidR="0007750D">
        <w:t xml:space="preserve">Member States </w:t>
      </w:r>
      <w:r w:rsidR="002F64F0">
        <w:t xml:space="preserve">to </w:t>
      </w:r>
      <w:r w:rsidR="00D92C0D">
        <w:t>Lead on the SDGs</w:t>
      </w:r>
      <w:bookmarkEnd w:id="7"/>
    </w:p>
    <w:p w14:paraId="03297B26" w14:textId="77777777" w:rsidR="00244699" w:rsidRDefault="00244699" w:rsidP="00264F3F">
      <w:pPr>
        <w:jc w:val="both"/>
        <w:rPr>
          <w:rFonts w:ascii="Times New Roman" w:hAnsi="Times New Roman"/>
          <w:sz w:val="24"/>
          <w:szCs w:val="24"/>
        </w:rPr>
      </w:pPr>
    </w:p>
    <w:p w14:paraId="0541A6A3" w14:textId="790B6ADA" w:rsidR="00B305CA" w:rsidRDefault="00AD743C" w:rsidP="00264F3F">
      <w:pPr>
        <w:jc w:val="both"/>
        <w:rPr>
          <w:rFonts w:ascii="Times New Roman" w:hAnsi="Times New Roman"/>
          <w:sz w:val="24"/>
          <w:szCs w:val="24"/>
        </w:rPr>
      </w:pPr>
      <w:r>
        <w:rPr>
          <w:rFonts w:ascii="Times New Roman" w:hAnsi="Times New Roman"/>
          <w:sz w:val="24"/>
          <w:szCs w:val="24"/>
        </w:rPr>
        <w:t xml:space="preserve">It </w:t>
      </w:r>
      <w:r w:rsidR="00562A20">
        <w:rPr>
          <w:rFonts w:ascii="Times New Roman" w:hAnsi="Times New Roman"/>
          <w:sz w:val="24"/>
          <w:szCs w:val="24"/>
        </w:rPr>
        <w:t xml:space="preserve">is </w:t>
      </w:r>
      <w:r>
        <w:rPr>
          <w:rFonts w:ascii="Times New Roman" w:hAnsi="Times New Roman"/>
          <w:sz w:val="24"/>
          <w:szCs w:val="24"/>
        </w:rPr>
        <w:t>time for the Commonwealth to revisit how helpful SDG4 is and develop its own more nuanced goals that reflect the realities and priorities of CMS</w:t>
      </w:r>
      <w:r w:rsidR="00562A20">
        <w:rPr>
          <w:rFonts w:ascii="Times New Roman" w:hAnsi="Times New Roman"/>
          <w:sz w:val="24"/>
          <w:szCs w:val="24"/>
        </w:rPr>
        <w:t>s</w:t>
      </w:r>
      <w:r>
        <w:rPr>
          <w:rFonts w:ascii="Times New Roman" w:hAnsi="Times New Roman"/>
          <w:sz w:val="24"/>
          <w:szCs w:val="24"/>
        </w:rPr>
        <w:t xml:space="preserve">. </w:t>
      </w:r>
      <w:r w:rsidR="003D6CC1">
        <w:rPr>
          <w:rFonts w:ascii="Times New Roman" w:hAnsi="Times New Roman"/>
          <w:sz w:val="24"/>
          <w:szCs w:val="24"/>
        </w:rPr>
        <w:t xml:space="preserve">The diversity of the Commonwealth indicates how ambitious the SDGs are in attempting to generate a single list of goals equally relevant to all countries. </w:t>
      </w:r>
      <w:r w:rsidR="00385927">
        <w:rPr>
          <w:rFonts w:ascii="Times New Roman" w:hAnsi="Times New Roman"/>
          <w:sz w:val="24"/>
          <w:szCs w:val="24"/>
        </w:rPr>
        <w:t xml:space="preserve">The list of current concerns </w:t>
      </w:r>
      <w:r>
        <w:rPr>
          <w:rFonts w:ascii="Times New Roman" w:hAnsi="Times New Roman"/>
          <w:sz w:val="24"/>
          <w:szCs w:val="24"/>
        </w:rPr>
        <w:t xml:space="preserve">about SDG4 </w:t>
      </w:r>
      <w:r w:rsidR="00385927">
        <w:rPr>
          <w:rFonts w:ascii="Times New Roman" w:hAnsi="Times New Roman"/>
          <w:sz w:val="24"/>
          <w:szCs w:val="24"/>
        </w:rPr>
        <w:t>echoes the criticisms that led to the CMGT. These issues could form the basis of a new agenda for Commonwealth Ministers ini</w:t>
      </w:r>
      <w:r w:rsidR="00D92C0D">
        <w:rPr>
          <w:rFonts w:ascii="Times New Roman" w:hAnsi="Times New Roman"/>
          <w:sz w:val="24"/>
          <w:szCs w:val="24"/>
        </w:rPr>
        <w:t xml:space="preserve">tiative that seeks to take </w:t>
      </w:r>
      <w:r w:rsidR="00385927">
        <w:rPr>
          <w:rFonts w:ascii="Times New Roman" w:hAnsi="Times New Roman"/>
          <w:sz w:val="24"/>
          <w:szCs w:val="24"/>
        </w:rPr>
        <w:t>control of the global development</w:t>
      </w:r>
      <w:r w:rsidR="00D92C0D">
        <w:rPr>
          <w:rFonts w:ascii="Times New Roman" w:hAnsi="Times New Roman"/>
          <w:sz w:val="24"/>
          <w:szCs w:val="24"/>
        </w:rPr>
        <w:t xml:space="preserve"> framework in ways that match</w:t>
      </w:r>
      <w:r w:rsidR="00385927">
        <w:rPr>
          <w:rFonts w:ascii="Times New Roman" w:hAnsi="Times New Roman"/>
          <w:sz w:val="24"/>
          <w:szCs w:val="24"/>
        </w:rPr>
        <w:t xml:space="preserve"> Commonwealth conditions and national prior</w:t>
      </w:r>
      <w:r>
        <w:rPr>
          <w:rFonts w:ascii="Times New Roman" w:hAnsi="Times New Roman"/>
          <w:sz w:val="24"/>
          <w:szCs w:val="24"/>
        </w:rPr>
        <w:t>ities. Key issues are discussed below.</w:t>
      </w:r>
    </w:p>
    <w:p w14:paraId="28CBBC91" w14:textId="77777777" w:rsidR="00B756F9" w:rsidRDefault="00B756F9" w:rsidP="00264F3F">
      <w:pPr>
        <w:jc w:val="both"/>
        <w:rPr>
          <w:rFonts w:ascii="Times New Roman" w:hAnsi="Times New Roman"/>
          <w:sz w:val="24"/>
          <w:szCs w:val="24"/>
        </w:rPr>
      </w:pPr>
    </w:p>
    <w:p w14:paraId="428370FD" w14:textId="29870489" w:rsidR="00100389" w:rsidRDefault="00385927" w:rsidP="00264F3F">
      <w:pPr>
        <w:jc w:val="both"/>
        <w:rPr>
          <w:rFonts w:ascii="Times New Roman" w:hAnsi="Times New Roman"/>
          <w:sz w:val="24"/>
          <w:szCs w:val="24"/>
        </w:rPr>
      </w:pPr>
      <w:r>
        <w:rPr>
          <w:rFonts w:ascii="Times New Roman" w:hAnsi="Times New Roman"/>
          <w:sz w:val="24"/>
          <w:szCs w:val="24"/>
        </w:rPr>
        <w:t>First, t</w:t>
      </w:r>
      <w:r w:rsidR="00AB64B4" w:rsidRPr="00264F3F">
        <w:rPr>
          <w:rFonts w:ascii="Times New Roman" w:hAnsi="Times New Roman"/>
          <w:sz w:val="24"/>
          <w:szCs w:val="24"/>
        </w:rPr>
        <w:t xml:space="preserve">he </w:t>
      </w:r>
      <w:r w:rsidR="007E70E9">
        <w:rPr>
          <w:rFonts w:ascii="Times New Roman" w:hAnsi="Times New Roman"/>
          <w:sz w:val="24"/>
          <w:szCs w:val="24"/>
        </w:rPr>
        <w:t>preference of</w:t>
      </w:r>
      <w:r w:rsidR="00AB64B4" w:rsidRPr="00264F3F">
        <w:rPr>
          <w:rFonts w:ascii="Times New Roman" w:hAnsi="Times New Roman"/>
          <w:sz w:val="24"/>
          <w:szCs w:val="24"/>
        </w:rPr>
        <w:t xml:space="preserve"> development agencies towards investments in basic education remains albeit with an ambitious </w:t>
      </w:r>
      <w:r w:rsidR="00F228C9">
        <w:rPr>
          <w:rFonts w:ascii="Times New Roman" w:hAnsi="Times New Roman"/>
          <w:sz w:val="24"/>
          <w:szCs w:val="24"/>
        </w:rPr>
        <w:t>extension to</w:t>
      </w:r>
      <w:r w:rsidR="00AB64B4" w:rsidRPr="00264F3F">
        <w:rPr>
          <w:rFonts w:ascii="Times New Roman" w:hAnsi="Times New Roman"/>
          <w:sz w:val="24"/>
          <w:szCs w:val="24"/>
        </w:rPr>
        <w:t xml:space="preserve"> the whole of the secondary cycle. This is driven by a rights based approach more than a coherent theory of development.</w:t>
      </w:r>
      <w:r w:rsidR="00100389">
        <w:rPr>
          <w:rFonts w:ascii="Times New Roman" w:hAnsi="Times New Roman"/>
          <w:sz w:val="24"/>
          <w:szCs w:val="24"/>
        </w:rPr>
        <w:t xml:space="preserve"> The problem is that this approach suits some developmental conditions but not others. It is becoming clearer a</w:t>
      </w:r>
      <w:r w:rsidR="00F228C9">
        <w:rPr>
          <w:rFonts w:ascii="Times New Roman" w:hAnsi="Times New Roman"/>
          <w:sz w:val="24"/>
          <w:szCs w:val="24"/>
        </w:rPr>
        <w:t xml:space="preserve">nd </w:t>
      </w:r>
      <w:r w:rsidR="00100389">
        <w:rPr>
          <w:rFonts w:ascii="Times New Roman" w:hAnsi="Times New Roman"/>
          <w:sz w:val="24"/>
          <w:szCs w:val="24"/>
        </w:rPr>
        <w:t>that sustainable development in most CMS does not require more aid but more investment in fiscal reforms, greater efficiency and effectiveness, and better management of economic growth. The most successful CMSs can provide examples of the pa</w:t>
      </w:r>
      <w:r w:rsidR="00D92C0D">
        <w:rPr>
          <w:rFonts w:ascii="Times New Roman" w:hAnsi="Times New Roman"/>
          <w:sz w:val="24"/>
          <w:szCs w:val="24"/>
        </w:rPr>
        <w:t>thways that need to be followed to develop financially sustainable systems</w:t>
      </w:r>
      <w:r w:rsidR="00F228C9">
        <w:rPr>
          <w:rFonts w:ascii="Times New Roman" w:hAnsi="Times New Roman"/>
          <w:sz w:val="24"/>
          <w:szCs w:val="24"/>
        </w:rPr>
        <w:t xml:space="preserve"> (e.g. Singapore, Malaysia, Botswana, Barbados). </w:t>
      </w:r>
      <w:r w:rsidR="00100389">
        <w:rPr>
          <w:rFonts w:ascii="Times New Roman" w:hAnsi="Times New Roman"/>
          <w:sz w:val="24"/>
          <w:szCs w:val="24"/>
        </w:rPr>
        <w:t xml:space="preserve">      </w:t>
      </w:r>
      <w:r w:rsidR="00AB64B4" w:rsidRPr="00264F3F">
        <w:rPr>
          <w:rFonts w:ascii="Times New Roman" w:hAnsi="Times New Roman"/>
          <w:sz w:val="24"/>
          <w:szCs w:val="24"/>
        </w:rPr>
        <w:t xml:space="preserve"> </w:t>
      </w:r>
    </w:p>
    <w:p w14:paraId="55EB7B64" w14:textId="77777777" w:rsidR="00100389" w:rsidRDefault="00100389" w:rsidP="00264F3F">
      <w:pPr>
        <w:jc w:val="both"/>
        <w:rPr>
          <w:rFonts w:ascii="Times New Roman" w:hAnsi="Times New Roman"/>
          <w:sz w:val="24"/>
          <w:szCs w:val="24"/>
        </w:rPr>
      </w:pPr>
    </w:p>
    <w:p w14:paraId="721C383F" w14:textId="17BBF26D" w:rsidR="00385927" w:rsidRDefault="00385927" w:rsidP="00385927">
      <w:pPr>
        <w:jc w:val="both"/>
        <w:rPr>
          <w:rFonts w:ascii="Times New Roman" w:hAnsi="Times New Roman"/>
          <w:sz w:val="24"/>
          <w:szCs w:val="24"/>
        </w:rPr>
      </w:pPr>
      <w:r>
        <w:rPr>
          <w:rFonts w:ascii="Times New Roman" w:hAnsi="Times New Roman"/>
          <w:sz w:val="24"/>
          <w:szCs w:val="24"/>
        </w:rPr>
        <w:t>Second, i</w:t>
      </w:r>
      <w:r w:rsidR="00AB64B4" w:rsidRPr="00264F3F">
        <w:rPr>
          <w:rFonts w:ascii="Times New Roman" w:hAnsi="Times New Roman"/>
          <w:sz w:val="24"/>
          <w:szCs w:val="24"/>
        </w:rPr>
        <w:t xml:space="preserve">ncreasingly the </w:t>
      </w:r>
      <w:r w:rsidR="00D92C0D">
        <w:rPr>
          <w:rFonts w:ascii="Times New Roman" w:hAnsi="Times New Roman"/>
          <w:sz w:val="24"/>
          <w:szCs w:val="24"/>
        </w:rPr>
        <w:t xml:space="preserve">global </w:t>
      </w:r>
      <w:r w:rsidR="00AB64B4" w:rsidRPr="00264F3F">
        <w:rPr>
          <w:rFonts w:ascii="Times New Roman" w:hAnsi="Times New Roman"/>
          <w:sz w:val="24"/>
          <w:szCs w:val="24"/>
        </w:rPr>
        <w:t xml:space="preserve">emphasis on measuring learning of the SDGs is being translated into internationally standardised testing </w:t>
      </w:r>
      <w:r w:rsidR="00B305CA">
        <w:rPr>
          <w:rFonts w:ascii="Times New Roman" w:hAnsi="Times New Roman"/>
          <w:sz w:val="24"/>
          <w:szCs w:val="24"/>
        </w:rPr>
        <w:t xml:space="preserve">in the early grades </w:t>
      </w:r>
      <w:r w:rsidR="00AB64B4" w:rsidRPr="00264F3F">
        <w:rPr>
          <w:rFonts w:ascii="Times New Roman" w:hAnsi="Times New Roman"/>
          <w:sz w:val="24"/>
          <w:szCs w:val="24"/>
        </w:rPr>
        <w:t>which assumes global curricula convergence and does little to recognise different starting points and preferences for outcomes not captured by the test</w:t>
      </w:r>
      <w:r w:rsidR="00B305CA">
        <w:rPr>
          <w:rFonts w:ascii="Times New Roman" w:hAnsi="Times New Roman"/>
          <w:sz w:val="24"/>
          <w:szCs w:val="24"/>
        </w:rPr>
        <w:t>s</w:t>
      </w:r>
      <w:r w:rsidR="00AB64B4" w:rsidRPr="00264F3F">
        <w:rPr>
          <w:rFonts w:ascii="Times New Roman" w:hAnsi="Times New Roman"/>
          <w:sz w:val="24"/>
          <w:szCs w:val="24"/>
        </w:rPr>
        <w:t xml:space="preserve">. Improved quality is not being captured </w:t>
      </w:r>
      <w:r w:rsidR="00B305CA">
        <w:rPr>
          <w:rFonts w:ascii="Times New Roman" w:hAnsi="Times New Roman"/>
          <w:sz w:val="24"/>
          <w:szCs w:val="24"/>
        </w:rPr>
        <w:t>or promoted by such testing and</w:t>
      </w:r>
      <w:r w:rsidR="00AB64B4" w:rsidRPr="00264F3F">
        <w:rPr>
          <w:rFonts w:ascii="Times New Roman" w:hAnsi="Times New Roman"/>
          <w:sz w:val="24"/>
          <w:szCs w:val="24"/>
        </w:rPr>
        <w:t xml:space="preserve"> more measurement delinked from classroom level formative assessment is simply replicating findings of under achievement in LICs and LMICs that are well known. </w:t>
      </w:r>
      <w:r w:rsidR="00244699">
        <w:rPr>
          <w:rFonts w:ascii="Times New Roman" w:hAnsi="Times New Roman"/>
          <w:sz w:val="24"/>
          <w:szCs w:val="24"/>
        </w:rPr>
        <w:t>High performing C</w:t>
      </w:r>
      <w:r>
        <w:rPr>
          <w:rFonts w:ascii="Times New Roman" w:hAnsi="Times New Roman"/>
          <w:sz w:val="24"/>
          <w:szCs w:val="24"/>
        </w:rPr>
        <w:t>MSs can illustrate how bespoke assessment systems can minimise destructive examination backwash on learning and teaching and how formative assessment linked to pedagogic intervention can improve the management of learning.</w:t>
      </w:r>
      <w:r w:rsidR="00D92C0D">
        <w:rPr>
          <w:rFonts w:ascii="Times New Roman" w:hAnsi="Times New Roman"/>
          <w:sz w:val="24"/>
          <w:szCs w:val="24"/>
        </w:rPr>
        <w:t xml:space="preserve"> More international comparisons are unlikely to raise levels of achievement since they are low stakes and attempt to homogenise achievement within an increasingly diverse student population.  </w:t>
      </w:r>
      <w:r>
        <w:rPr>
          <w:rFonts w:ascii="Times New Roman" w:hAnsi="Times New Roman"/>
          <w:sz w:val="24"/>
          <w:szCs w:val="24"/>
        </w:rPr>
        <w:t xml:space="preserve"> </w:t>
      </w:r>
    </w:p>
    <w:p w14:paraId="0D930F39" w14:textId="7F631D94" w:rsidR="00AB64B4" w:rsidRPr="00264F3F" w:rsidRDefault="00AB64B4" w:rsidP="00264F3F">
      <w:pPr>
        <w:jc w:val="both"/>
        <w:rPr>
          <w:rFonts w:ascii="Times New Roman" w:hAnsi="Times New Roman"/>
          <w:sz w:val="24"/>
          <w:szCs w:val="24"/>
        </w:rPr>
      </w:pPr>
      <w:r w:rsidRPr="00264F3F">
        <w:rPr>
          <w:rFonts w:ascii="Times New Roman" w:hAnsi="Times New Roman"/>
          <w:sz w:val="24"/>
          <w:szCs w:val="24"/>
        </w:rPr>
        <w:t xml:space="preserve">       </w:t>
      </w:r>
    </w:p>
    <w:p w14:paraId="10BA34E7" w14:textId="1D00167F" w:rsidR="00B756F9" w:rsidRDefault="00244699" w:rsidP="00264F3F">
      <w:pPr>
        <w:jc w:val="both"/>
        <w:rPr>
          <w:rFonts w:ascii="Times New Roman" w:hAnsi="Times New Roman"/>
          <w:sz w:val="24"/>
          <w:szCs w:val="24"/>
        </w:rPr>
      </w:pPr>
      <w:r>
        <w:rPr>
          <w:rFonts w:ascii="Times New Roman" w:hAnsi="Times New Roman"/>
          <w:sz w:val="24"/>
          <w:szCs w:val="24"/>
        </w:rPr>
        <w:t xml:space="preserve">Third, </w:t>
      </w:r>
      <w:r w:rsidR="0044267C" w:rsidRPr="00264F3F">
        <w:rPr>
          <w:rFonts w:ascii="Times New Roman" w:hAnsi="Times New Roman"/>
          <w:sz w:val="24"/>
          <w:szCs w:val="24"/>
        </w:rPr>
        <w:t>there has been no widespread attempt to address questions of equity related to household income or location</w:t>
      </w:r>
      <w:r w:rsidR="00B75305" w:rsidRPr="00264F3F">
        <w:rPr>
          <w:rFonts w:ascii="Times New Roman" w:hAnsi="Times New Roman"/>
          <w:sz w:val="24"/>
          <w:szCs w:val="24"/>
        </w:rPr>
        <w:t xml:space="preserve"> and there is some evidence that exclusion related to poverty may actually have increased in some CMSs despite growth in GDP. Gender equity has been addressed and across the CMSs </w:t>
      </w:r>
      <w:r w:rsidR="00FA44E3">
        <w:rPr>
          <w:rFonts w:ascii="Times New Roman" w:hAnsi="Times New Roman"/>
          <w:sz w:val="24"/>
          <w:szCs w:val="24"/>
        </w:rPr>
        <w:t xml:space="preserve">school </w:t>
      </w:r>
      <w:r w:rsidR="00B75305" w:rsidRPr="00264F3F">
        <w:rPr>
          <w:rFonts w:ascii="Times New Roman" w:hAnsi="Times New Roman"/>
          <w:sz w:val="24"/>
          <w:szCs w:val="24"/>
        </w:rPr>
        <w:t>participation rates are close to parity.</w:t>
      </w:r>
      <w:r w:rsidR="00B756F9">
        <w:rPr>
          <w:rFonts w:ascii="Times New Roman" w:hAnsi="Times New Roman"/>
          <w:sz w:val="24"/>
          <w:szCs w:val="24"/>
        </w:rPr>
        <w:t xml:space="preserve"> </w:t>
      </w:r>
      <w:r w:rsidR="00B756F9" w:rsidRPr="00264F3F">
        <w:rPr>
          <w:rFonts w:ascii="Times New Roman" w:hAnsi="Times New Roman"/>
          <w:sz w:val="24"/>
          <w:szCs w:val="24"/>
        </w:rPr>
        <w:t xml:space="preserve">It is increasingly common to find girls out enrolling boys. </w:t>
      </w:r>
      <w:r w:rsidR="00B756F9">
        <w:rPr>
          <w:rFonts w:ascii="Times New Roman" w:hAnsi="Times New Roman"/>
          <w:sz w:val="24"/>
          <w:szCs w:val="24"/>
        </w:rPr>
        <w:t xml:space="preserve">The most equitable CMSs can demonstrate how reducing </w:t>
      </w:r>
      <w:r w:rsidR="00F228C9">
        <w:rPr>
          <w:rFonts w:ascii="Times New Roman" w:hAnsi="Times New Roman"/>
          <w:sz w:val="24"/>
          <w:szCs w:val="24"/>
        </w:rPr>
        <w:t xml:space="preserve">gender </w:t>
      </w:r>
      <w:r w:rsidR="00B756F9">
        <w:rPr>
          <w:rFonts w:ascii="Times New Roman" w:hAnsi="Times New Roman"/>
          <w:sz w:val="24"/>
          <w:szCs w:val="24"/>
        </w:rPr>
        <w:t xml:space="preserve">gaps in participation and achievement can contribute to social justice and economic growth. </w:t>
      </w:r>
    </w:p>
    <w:p w14:paraId="6B55EDEB" w14:textId="77777777" w:rsidR="00B756F9" w:rsidRDefault="00B756F9" w:rsidP="00264F3F">
      <w:pPr>
        <w:jc w:val="both"/>
        <w:rPr>
          <w:rFonts w:ascii="Times New Roman" w:hAnsi="Times New Roman"/>
          <w:sz w:val="24"/>
          <w:szCs w:val="24"/>
        </w:rPr>
      </w:pPr>
    </w:p>
    <w:p w14:paraId="0B969293" w14:textId="087F7566" w:rsidR="00B75305" w:rsidRPr="00264F3F" w:rsidRDefault="008D5E07" w:rsidP="00264F3F">
      <w:pPr>
        <w:jc w:val="both"/>
        <w:rPr>
          <w:rFonts w:ascii="Times New Roman" w:hAnsi="Times New Roman"/>
          <w:sz w:val="24"/>
          <w:szCs w:val="24"/>
        </w:rPr>
      </w:pPr>
      <w:r>
        <w:rPr>
          <w:rFonts w:ascii="Times New Roman" w:hAnsi="Times New Roman"/>
          <w:sz w:val="24"/>
          <w:szCs w:val="24"/>
        </w:rPr>
        <w:t>Fourth, i</w:t>
      </w:r>
      <w:r w:rsidR="00B75305" w:rsidRPr="00264F3F">
        <w:rPr>
          <w:rFonts w:ascii="Times New Roman" w:hAnsi="Times New Roman"/>
          <w:sz w:val="24"/>
          <w:szCs w:val="24"/>
        </w:rPr>
        <w:t>t has proved very difficult to close the digital divide of access and capability between the rich and poor C</w:t>
      </w:r>
      <w:r w:rsidR="00B756F9">
        <w:rPr>
          <w:rFonts w:ascii="Times New Roman" w:hAnsi="Times New Roman"/>
          <w:sz w:val="24"/>
          <w:szCs w:val="24"/>
        </w:rPr>
        <w:t xml:space="preserve">MSs </w:t>
      </w:r>
      <w:r w:rsidR="00B75305" w:rsidRPr="00264F3F">
        <w:rPr>
          <w:rFonts w:ascii="Times New Roman" w:hAnsi="Times New Roman"/>
          <w:sz w:val="24"/>
          <w:szCs w:val="24"/>
        </w:rPr>
        <w:t xml:space="preserve">not least because the leading edge moves so fast. </w:t>
      </w:r>
      <w:r w:rsidR="00B756F9">
        <w:rPr>
          <w:rFonts w:ascii="Times New Roman" w:hAnsi="Times New Roman"/>
          <w:sz w:val="24"/>
          <w:szCs w:val="24"/>
        </w:rPr>
        <w:t>CMSs, especially small island states, can collaborate to show how these gaps can be managed at affordable costs. More generally managing and regulating t</w:t>
      </w:r>
      <w:r w:rsidR="00B75305" w:rsidRPr="00264F3F">
        <w:rPr>
          <w:rFonts w:ascii="Times New Roman" w:hAnsi="Times New Roman"/>
          <w:sz w:val="24"/>
          <w:szCs w:val="24"/>
        </w:rPr>
        <w:t xml:space="preserve">he </w:t>
      </w:r>
      <w:proofErr w:type="gramStart"/>
      <w:r w:rsidR="00B75305" w:rsidRPr="00264F3F">
        <w:rPr>
          <w:rFonts w:ascii="Times New Roman" w:hAnsi="Times New Roman"/>
          <w:sz w:val="24"/>
          <w:szCs w:val="24"/>
        </w:rPr>
        <w:t>internet</w:t>
      </w:r>
      <w:proofErr w:type="gramEnd"/>
      <w:r w:rsidR="00B75305" w:rsidRPr="00264F3F">
        <w:rPr>
          <w:rFonts w:ascii="Times New Roman" w:hAnsi="Times New Roman"/>
          <w:sz w:val="24"/>
          <w:szCs w:val="24"/>
        </w:rPr>
        <w:t xml:space="preserve"> and social media </w:t>
      </w:r>
      <w:r w:rsidR="00B756F9">
        <w:rPr>
          <w:rFonts w:ascii="Times New Roman" w:hAnsi="Times New Roman"/>
          <w:sz w:val="24"/>
          <w:szCs w:val="24"/>
        </w:rPr>
        <w:t xml:space="preserve">and safeguarding young people is a Commonwealth wide problem. If the </w:t>
      </w:r>
      <w:r w:rsidR="00384397" w:rsidRPr="00264F3F">
        <w:rPr>
          <w:rFonts w:ascii="Times New Roman" w:hAnsi="Times New Roman"/>
          <w:sz w:val="24"/>
          <w:szCs w:val="24"/>
        </w:rPr>
        <w:t>Minotaur and the Hydra a</w:t>
      </w:r>
      <w:r w:rsidR="00B756F9">
        <w:rPr>
          <w:rFonts w:ascii="Times New Roman" w:hAnsi="Times New Roman"/>
          <w:sz w:val="24"/>
          <w:szCs w:val="24"/>
        </w:rPr>
        <w:t>re to be reigned in the</w:t>
      </w:r>
      <w:r w:rsidR="00384397" w:rsidRPr="00264F3F">
        <w:rPr>
          <w:rFonts w:ascii="Times New Roman" w:hAnsi="Times New Roman"/>
          <w:sz w:val="24"/>
          <w:szCs w:val="24"/>
        </w:rPr>
        <w:t xml:space="preserve"> architects and owners </w:t>
      </w:r>
      <w:r w:rsidR="00B756F9">
        <w:rPr>
          <w:rFonts w:ascii="Times New Roman" w:hAnsi="Times New Roman"/>
          <w:sz w:val="24"/>
          <w:szCs w:val="24"/>
        </w:rPr>
        <w:t xml:space="preserve">of information technologies have to be reminded by governments </w:t>
      </w:r>
      <w:r w:rsidR="00384397" w:rsidRPr="00264F3F">
        <w:rPr>
          <w:rFonts w:ascii="Times New Roman" w:hAnsi="Times New Roman"/>
          <w:sz w:val="24"/>
          <w:szCs w:val="24"/>
        </w:rPr>
        <w:t>that with power comes moral responsibility</w:t>
      </w:r>
      <w:r w:rsidR="00B756F9">
        <w:rPr>
          <w:rFonts w:ascii="Times New Roman" w:hAnsi="Times New Roman"/>
          <w:sz w:val="24"/>
          <w:szCs w:val="24"/>
        </w:rPr>
        <w:t xml:space="preserve">. </w:t>
      </w:r>
      <w:proofErr w:type="gramStart"/>
      <w:r w:rsidR="00B756F9">
        <w:rPr>
          <w:rFonts w:ascii="Times New Roman" w:hAnsi="Times New Roman"/>
          <w:sz w:val="24"/>
          <w:szCs w:val="24"/>
        </w:rPr>
        <w:t>An</w:t>
      </w:r>
      <w:proofErr w:type="gramEnd"/>
      <w:r w:rsidR="00B756F9">
        <w:rPr>
          <w:rFonts w:ascii="Times New Roman" w:hAnsi="Times New Roman"/>
          <w:sz w:val="24"/>
          <w:szCs w:val="24"/>
        </w:rPr>
        <w:t xml:space="preserve"> </w:t>
      </w:r>
      <w:r w:rsidR="00F228C9">
        <w:rPr>
          <w:rFonts w:ascii="Times New Roman" w:hAnsi="Times New Roman"/>
          <w:sz w:val="24"/>
          <w:szCs w:val="24"/>
        </w:rPr>
        <w:t xml:space="preserve">coordinated </w:t>
      </w:r>
      <w:r w:rsidR="00B756F9">
        <w:rPr>
          <w:rFonts w:ascii="Times New Roman" w:hAnsi="Times New Roman"/>
          <w:sz w:val="24"/>
          <w:szCs w:val="24"/>
        </w:rPr>
        <w:t>approach across CMSs will have more influence than ad hoc legislation</w:t>
      </w:r>
      <w:r w:rsidR="00F228C9">
        <w:rPr>
          <w:rFonts w:ascii="Times New Roman" w:hAnsi="Times New Roman"/>
          <w:sz w:val="24"/>
          <w:szCs w:val="24"/>
        </w:rPr>
        <w:t xml:space="preserve"> in separate states</w:t>
      </w:r>
      <w:r w:rsidR="00B756F9">
        <w:rPr>
          <w:rFonts w:ascii="Times New Roman" w:hAnsi="Times New Roman"/>
          <w:sz w:val="24"/>
          <w:szCs w:val="24"/>
        </w:rPr>
        <w:t>.</w:t>
      </w:r>
      <w:r w:rsidR="00384397" w:rsidRPr="00264F3F">
        <w:rPr>
          <w:rFonts w:ascii="Times New Roman" w:hAnsi="Times New Roman"/>
          <w:sz w:val="24"/>
          <w:szCs w:val="24"/>
        </w:rPr>
        <w:t xml:space="preserve">  </w:t>
      </w:r>
      <w:r w:rsidR="00B75305" w:rsidRPr="00264F3F">
        <w:rPr>
          <w:rFonts w:ascii="Times New Roman" w:hAnsi="Times New Roman"/>
          <w:sz w:val="24"/>
          <w:szCs w:val="24"/>
        </w:rPr>
        <w:t xml:space="preserve">  </w:t>
      </w:r>
    </w:p>
    <w:p w14:paraId="50DD8CBA" w14:textId="77777777" w:rsidR="00B75305" w:rsidRPr="00264F3F" w:rsidRDefault="00B75305" w:rsidP="00264F3F">
      <w:pPr>
        <w:jc w:val="both"/>
        <w:rPr>
          <w:rFonts w:ascii="Times New Roman" w:hAnsi="Times New Roman"/>
          <w:sz w:val="24"/>
          <w:szCs w:val="24"/>
        </w:rPr>
      </w:pPr>
    </w:p>
    <w:p w14:paraId="34F66EC4" w14:textId="5A742B94" w:rsidR="009B2819" w:rsidRPr="00264F3F" w:rsidRDefault="008D5E07" w:rsidP="00264F3F">
      <w:pPr>
        <w:jc w:val="both"/>
        <w:rPr>
          <w:rFonts w:ascii="Times New Roman" w:hAnsi="Times New Roman"/>
          <w:sz w:val="24"/>
          <w:szCs w:val="24"/>
        </w:rPr>
      </w:pPr>
      <w:r>
        <w:rPr>
          <w:rFonts w:ascii="Times New Roman" w:hAnsi="Times New Roman"/>
          <w:sz w:val="24"/>
          <w:szCs w:val="24"/>
        </w:rPr>
        <w:t>Fifth, t</w:t>
      </w:r>
      <w:r w:rsidR="0007750D">
        <w:rPr>
          <w:rFonts w:ascii="Times New Roman" w:hAnsi="Times New Roman"/>
          <w:sz w:val="24"/>
          <w:szCs w:val="24"/>
        </w:rPr>
        <w:t>h</w:t>
      </w:r>
      <w:r w:rsidR="00384397" w:rsidRPr="00264F3F">
        <w:rPr>
          <w:rFonts w:ascii="Times New Roman" w:hAnsi="Times New Roman"/>
          <w:sz w:val="24"/>
          <w:szCs w:val="24"/>
        </w:rPr>
        <w:t>e SDGs, like the MDGs and DTs</w:t>
      </w:r>
      <w:r w:rsidR="00B756F9">
        <w:rPr>
          <w:rFonts w:ascii="Times New Roman" w:hAnsi="Times New Roman"/>
          <w:sz w:val="24"/>
          <w:szCs w:val="24"/>
        </w:rPr>
        <w:t>, appear frozen in aspic. T</w:t>
      </w:r>
      <w:r w:rsidR="00384397" w:rsidRPr="00264F3F">
        <w:rPr>
          <w:rFonts w:ascii="Times New Roman" w:hAnsi="Times New Roman"/>
          <w:sz w:val="24"/>
          <w:szCs w:val="24"/>
        </w:rPr>
        <w:t>here is no</w:t>
      </w:r>
      <w:r w:rsidR="00B756F9">
        <w:rPr>
          <w:rFonts w:ascii="Times New Roman" w:hAnsi="Times New Roman"/>
          <w:sz w:val="24"/>
          <w:szCs w:val="24"/>
        </w:rPr>
        <w:t xml:space="preserve"> on going Commonwealth </w:t>
      </w:r>
      <w:r w:rsidR="00384397" w:rsidRPr="00264F3F">
        <w:rPr>
          <w:rFonts w:ascii="Times New Roman" w:hAnsi="Times New Roman"/>
          <w:sz w:val="24"/>
          <w:szCs w:val="24"/>
        </w:rPr>
        <w:t>dialogue that seeks to treat SDG4 as a dynamic framework that changes over time to reflect the importance of “events, dear boy, events</w:t>
      </w:r>
      <w:r w:rsidR="00B305CA">
        <w:rPr>
          <w:rStyle w:val="FootnoteReference"/>
          <w:rFonts w:ascii="Times New Roman" w:hAnsi="Times New Roman"/>
          <w:sz w:val="24"/>
          <w:szCs w:val="24"/>
        </w:rPr>
        <w:footnoteReference w:id="5"/>
      </w:r>
      <w:r w:rsidR="009B2819" w:rsidRPr="00264F3F">
        <w:rPr>
          <w:rFonts w:ascii="Times New Roman" w:hAnsi="Times New Roman"/>
          <w:sz w:val="24"/>
          <w:szCs w:val="24"/>
        </w:rPr>
        <w:t>”</w:t>
      </w:r>
      <w:r w:rsidR="00244699">
        <w:rPr>
          <w:rFonts w:ascii="Times New Roman" w:hAnsi="Times New Roman"/>
          <w:sz w:val="24"/>
          <w:szCs w:val="24"/>
        </w:rPr>
        <w:t>.</w:t>
      </w:r>
      <w:r w:rsidR="005B7101" w:rsidRPr="00264F3F">
        <w:rPr>
          <w:rFonts w:ascii="Times New Roman" w:hAnsi="Times New Roman"/>
          <w:sz w:val="24"/>
          <w:szCs w:val="24"/>
        </w:rPr>
        <w:t xml:space="preserve"> </w:t>
      </w:r>
      <w:r w:rsidR="009B2819" w:rsidRPr="00264F3F">
        <w:rPr>
          <w:rFonts w:ascii="Times New Roman" w:hAnsi="Times New Roman"/>
          <w:sz w:val="24"/>
          <w:szCs w:val="24"/>
        </w:rPr>
        <w:t xml:space="preserve">Neither have the SDGs been domesticated to reflect different contexts, ambitions and realistic possibilities. One of the key texts on the </w:t>
      </w:r>
      <w:r w:rsidR="00244699">
        <w:rPr>
          <w:rFonts w:ascii="Times New Roman" w:hAnsi="Times New Roman"/>
          <w:sz w:val="24"/>
          <w:szCs w:val="24"/>
        </w:rPr>
        <w:t>S</w:t>
      </w:r>
      <w:r w:rsidR="009B2819" w:rsidRPr="00264F3F">
        <w:rPr>
          <w:rFonts w:ascii="Times New Roman" w:hAnsi="Times New Roman"/>
          <w:sz w:val="24"/>
          <w:szCs w:val="24"/>
        </w:rPr>
        <w:t xml:space="preserve">DGs wrestles repeatedly with tensions between a globalized </w:t>
      </w:r>
      <w:r w:rsidR="00B756F9">
        <w:rPr>
          <w:rFonts w:ascii="Times New Roman" w:hAnsi="Times New Roman"/>
          <w:sz w:val="24"/>
          <w:szCs w:val="24"/>
        </w:rPr>
        <w:t xml:space="preserve">approach </w:t>
      </w:r>
      <w:r w:rsidR="009B2819" w:rsidRPr="00264F3F">
        <w:rPr>
          <w:rFonts w:ascii="Times New Roman" w:hAnsi="Times New Roman"/>
          <w:sz w:val="24"/>
          <w:szCs w:val="24"/>
        </w:rPr>
        <w:t>to development, and an enduring attachment to the nation as the indivisible unit of development with many special and unique characteristics justifying special consideration. The flavo</w:t>
      </w:r>
      <w:r w:rsidR="00C0238F">
        <w:rPr>
          <w:rFonts w:ascii="Times New Roman" w:hAnsi="Times New Roman"/>
          <w:sz w:val="24"/>
          <w:szCs w:val="24"/>
        </w:rPr>
        <w:t>u</w:t>
      </w:r>
      <w:r w:rsidR="009B2819" w:rsidRPr="00264F3F">
        <w:rPr>
          <w:rFonts w:ascii="Times New Roman" w:hAnsi="Times New Roman"/>
          <w:sz w:val="24"/>
          <w:szCs w:val="24"/>
        </w:rPr>
        <w:t>r of the SDGs, and their format, which volunteers few opportunities to modify, adapt or otherwise locate the goals and targets in different country circumstances, can easily be seen as symbolic of a “one size fits all” message emanating from the centre of a Washington consensus.</w:t>
      </w:r>
      <w:r w:rsidR="00B756F9">
        <w:rPr>
          <w:rFonts w:ascii="Times New Roman" w:hAnsi="Times New Roman"/>
          <w:sz w:val="24"/>
          <w:szCs w:val="24"/>
        </w:rPr>
        <w:t xml:space="preserve"> The CMSs should grasp the challenge of national level Sustainable Development Goals for education, and insist </w:t>
      </w:r>
      <w:r w:rsidR="00AD5DAC">
        <w:rPr>
          <w:rFonts w:ascii="Times New Roman" w:hAnsi="Times New Roman"/>
          <w:sz w:val="24"/>
          <w:szCs w:val="24"/>
        </w:rPr>
        <w:t>on developing and owning national goals that can</w:t>
      </w:r>
      <w:r w:rsidR="00B756F9">
        <w:rPr>
          <w:rFonts w:ascii="Times New Roman" w:hAnsi="Times New Roman"/>
          <w:sz w:val="24"/>
          <w:szCs w:val="24"/>
        </w:rPr>
        <w:t xml:space="preserve"> evolve over time to reflect</w:t>
      </w:r>
      <w:r>
        <w:rPr>
          <w:rFonts w:ascii="Times New Roman" w:hAnsi="Times New Roman"/>
          <w:sz w:val="24"/>
          <w:szCs w:val="24"/>
        </w:rPr>
        <w:t xml:space="preserve"> changing priorities and achieve</w:t>
      </w:r>
      <w:r w:rsidR="00AD5DAC">
        <w:rPr>
          <w:rFonts w:ascii="Times New Roman" w:hAnsi="Times New Roman"/>
          <w:sz w:val="24"/>
          <w:szCs w:val="24"/>
        </w:rPr>
        <w:t xml:space="preserve">ments. </w:t>
      </w:r>
      <w:proofErr w:type="gramStart"/>
      <w:r w:rsidR="00AD5DAC">
        <w:rPr>
          <w:rFonts w:ascii="Times New Roman" w:hAnsi="Times New Roman"/>
          <w:sz w:val="24"/>
          <w:szCs w:val="24"/>
        </w:rPr>
        <w:t xml:space="preserve">If these goals </w:t>
      </w:r>
      <w:r w:rsidR="00FA44E3">
        <w:rPr>
          <w:rFonts w:ascii="Times New Roman" w:hAnsi="Times New Roman"/>
          <w:sz w:val="24"/>
          <w:szCs w:val="24"/>
        </w:rPr>
        <w:t xml:space="preserve">are shared between CMSs so much </w:t>
      </w:r>
      <w:r w:rsidR="00AD5DAC">
        <w:rPr>
          <w:rFonts w:ascii="Times New Roman" w:hAnsi="Times New Roman"/>
          <w:sz w:val="24"/>
          <w:szCs w:val="24"/>
        </w:rPr>
        <w:t>the better.</w:t>
      </w:r>
      <w:proofErr w:type="gramEnd"/>
      <w:r w:rsidR="00AD5DAC">
        <w:rPr>
          <w:rFonts w:ascii="Times New Roman" w:hAnsi="Times New Roman"/>
          <w:sz w:val="24"/>
          <w:szCs w:val="24"/>
        </w:rPr>
        <w:t xml:space="preserve">  </w:t>
      </w:r>
    </w:p>
    <w:p w14:paraId="01AB9A70" w14:textId="5331B4EB" w:rsidR="009B2819" w:rsidRPr="00264F3F" w:rsidRDefault="009B2819" w:rsidP="00264F3F">
      <w:pPr>
        <w:jc w:val="both"/>
        <w:rPr>
          <w:rFonts w:ascii="Times New Roman" w:hAnsi="Times New Roman"/>
          <w:sz w:val="24"/>
          <w:szCs w:val="24"/>
        </w:rPr>
      </w:pPr>
    </w:p>
    <w:p w14:paraId="17E24589" w14:textId="0D1EBA41" w:rsidR="005B7101" w:rsidRDefault="008D5E07" w:rsidP="00264F3F">
      <w:pPr>
        <w:jc w:val="both"/>
        <w:rPr>
          <w:rFonts w:ascii="Times New Roman" w:hAnsi="Times New Roman"/>
          <w:sz w:val="24"/>
          <w:szCs w:val="24"/>
        </w:rPr>
      </w:pPr>
      <w:r>
        <w:rPr>
          <w:rFonts w:ascii="Times New Roman" w:hAnsi="Times New Roman"/>
          <w:sz w:val="24"/>
          <w:szCs w:val="24"/>
        </w:rPr>
        <w:t>Sixth</w:t>
      </w:r>
      <w:r w:rsidR="0007750D">
        <w:rPr>
          <w:rFonts w:ascii="Times New Roman" w:hAnsi="Times New Roman"/>
          <w:sz w:val="24"/>
          <w:szCs w:val="24"/>
        </w:rPr>
        <w:t>, t</w:t>
      </w:r>
      <w:r w:rsidR="005B7101" w:rsidRPr="00264F3F">
        <w:rPr>
          <w:rFonts w:ascii="Times New Roman" w:hAnsi="Times New Roman"/>
          <w:sz w:val="24"/>
          <w:szCs w:val="24"/>
        </w:rPr>
        <w:t xml:space="preserve">he distance between target setters and target getters </w:t>
      </w:r>
      <w:r w:rsidR="009B2819" w:rsidRPr="00264F3F">
        <w:rPr>
          <w:rFonts w:ascii="Times New Roman" w:hAnsi="Times New Roman"/>
          <w:sz w:val="24"/>
          <w:szCs w:val="24"/>
        </w:rPr>
        <w:t>does not appear to have diminished. As the implementation of the</w:t>
      </w:r>
      <w:r w:rsidR="00B305CA">
        <w:rPr>
          <w:rFonts w:ascii="Times New Roman" w:hAnsi="Times New Roman"/>
          <w:sz w:val="24"/>
          <w:szCs w:val="24"/>
        </w:rPr>
        <w:t xml:space="preserve"> SDG 4</w:t>
      </w:r>
      <w:r w:rsidR="009B2819" w:rsidRPr="00264F3F">
        <w:rPr>
          <w:rFonts w:ascii="Times New Roman" w:hAnsi="Times New Roman"/>
          <w:sz w:val="24"/>
          <w:szCs w:val="24"/>
        </w:rPr>
        <w:t xml:space="preserve"> has unfolded the delegation of assessing progress towards goals and targets has led to a dislocation</w:t>
      </w:r>
      <w:r w:rsidR="00B305CA">
        <w:rPr>
          <w:rFonts w:ascii="Times New Roman" w:hAnsi="Times New Roman"/>
          <w:sz w:val="24"/>
          <w:szCs w:val="24"/>
        </w:rPr>
        <w:t>. P</w:t>
      </w:r>
      <w:r w:rsidR="009B2819" w:rsidRPr="00264F3F">
        <w:rPr>
          <w:rFonts w:ascii="Times New Roman" w:hAnsi="Times New Roman"/>
          <w:sz w:val="24"/>
          <w:szCs w:val="24"/>
        </w:rPr>
        <w:t xml:space="preserve">olitical systems </w:t>
      </w:r>
      <w:r w:rsidR="00B305CA">
        <w:rPr>
          <w:rFonts w:ascii="Times New Roman" w:hAnsi="Times New Roman"/>
          <w:sz w:val="24"/>
          <w:szCs w:val="24"/>
        </w:rPr>
        <w:t xml:space="preserve">have been displaced by </w:t>
      </w:r>
      <w:r w:rsidR="009B2819" w:rsidRPr="00264F3F">
        <w:rPr>
          <w:rFonts w:ascii="Times New Roman" w:hAnsi="Times New Roman"/>
          <w:sz w:val="24"/>
          <w:szCs w:val="24"/>
        </w:rPr>
        <w:t>bureaucratic and highly technical indicator systems that nevertheless create pressure on CMSs to conform to global norms. This reifies the SDGs and invests nearly</w:t>
      </w:r>
      <w:r w:rsidR="00F228C9">
        <w:rPr>
          <w:rFonts w:ascii="Times New Roman" w:hAnsi="Times New Roman"/>
          <w:sz w:val="24"/>
          <w:szCs w:val="24"/>
        </w:rPr>
        <w:t xml:space="preserve"> all the</w:t>
      </w:r>
      <w:r w:rsidR="00B305CA">
        <w:rPr>
          <w:rFonts w:ascii="Times New Roman" w:hAnsi="Times New Roman"/>
          <w:sz w:val="24"/>
          <w:szCs w:val="24"/>
        </w:rPr>
        <w:t xml:space="preserve"> </w:t>
      </w:r>
      <w:r w:rsidR="009B2819" w:rsidRPr="00264F3F">
        <w:rPr>
          <w:rFonts w:ascii="Times New Roman" w:hAnsi="Times New Roman"/>
          <w:sz w:val="24"/>
          <w:szCs w:val="24"/>
        </w:rPr>
        <w:t xml:space="preserve">time </w:t>
      </w:r>
      <w:r w:rsidR="00F228C9">
        <w:rPr>
          <w:rFonts w:ascii="Times New Roman" w:hAnsi="Times New Roman"/>
          <w:sz w:val="24"/>
          <w:szCs w:val="24"/>
        </w:rPr>
        <w:t xml:space="preserve">of the international community </w:t>
      </w:r>
      <w:r w:rsidR="009B2819" w:rsidRPr="00264F3F">
        <w:rPr>
          <w:rFonts w:ascii="Times New Roman" w:hAnsi="Times New Roman"/>
          <w:sz w:val="24"/>
          <w:szCs w:val="24"/>
        </w:rPr>
        <w:t>in considering how to measure complex outcomes</w:t>
      </w:r>
      <w:r w:rsidR="00F228C9">
        <w:rPr>
          <w:rFonts w:ascii="Times New Roman" w:hAnsi="Times New Roman"/>
          <w:sz w:val="24"/>
          <w:szCs w:val="24"/>
        </w:rPr>
        <w:t>,</w:t>
      </w:r>
      <w:r w:rsidR="009B2819" w:rsidRPr="00264F3F">
        <w:rPr>
          <w:rFonts w:ascii="Times New Roman" w:hAnsi="Times New Roman"/>
          <w:sz w:val="24"/>
          <w:szCs w:val="24"/>
        </w:rPr>
        <w:t xml:space="preserve"> and very little time considering whether the outcomes have develo</w:t>
      </w:r>
      <w:r w:rsidR="00F228C9">
        <w:rPr>
          <w:rFonts w:ascii="Times New Roman" w:hAnsi="Times New Roman"/>
          <w:sz w:val="24"/>
          <w:szCs w:val="24"/>
        </w:rPr>
        <w:t>pmental</w:t>
      </w:r>
      <w:r w:rsidR="00491884" w:rsidRPr="00264F3F">
        <w:rPr>
          <w:rFonts w:ascii="Times New Roman" w:hAnsi="Times New Roman"/>
          <w:sz w:val="24"/>
          <w:szCs w:val="24"/>
        </w:rPr>
        <w:t xml:space="preserve"> significance. </w:t>
      </w:r>
      <w:r w:rsidR="00B305CA">
        <w:rPr>
          <w:rFonts w:ascii="Times New Roman" w:hAnsi="Times New Roman"/>
          <w:sz w:val="24"/>
          <w:szCs w:val="24"/>
        </w:rPr>
        <w:t xml:space="preserve">It is not clear what decisions by </w:t>
      </w:r>
      <w:proofErr w:type="gramStart"/>
      <w:r w:rsidR="00B305CA">
        <w:rPr>
          <w:rFonts w:ascii="Times New Roman" w:hAnsi="Times New Roman"/>
          <w:sz w:val="24"/>
          <w:szCs w:val="24"/>
        </w:rPr>
        <w:t>whom</w:t>
      </w:r>
      <w:proofErr w:type="gramEnd"/>
      <w:r w:rsidR="00B305CA">
        <w:rPr>
          <w:rFonts w:ascii="Times New Roman" w:hAnsi="Times New Roman"/>
          <w:sz w:val="24"/>
          <w:szCs w:val="24"/>
        </w:rPr>
        <w:t xml:space="preserve"> will make use of the </w:t>
      </w:r>
      <w:r w:rsidR="00B809EA">
        <w:rPr>
          <w:rFonts w:ascii="Times New Roman" w:hAnsi="Times New Roman"/>
          <w:sz w:val="24"/>
          <w:szCs w:val="24"/>
        </w:rPr>
        <w:t xml:space="preserve">big data sets being collected. </w:t>
      </w:r>
      <w:r>
        <w:rPr>
          <w:rFonts w:ascii="Times New Roman" w:hAnsi="Times New Roman"/>
          <w:sz w:val="24"/>
          <w:szCs w:val="24"/>
        </w:rPr>
        <w:t>C</w:t>
      </w:r>
      <w:r w:rsidR="005B7101" w:rsidRPr="00264F3F">
        <w:rPr>
          <w:rFonts w:ascii="Times New Roman" w:hAnsi="Times New Roman"/>
          <w:sz w:val="24"/>
          <w:szCs w:val="24"/>
        </w:rPr>
        <w:t>uriously the UNESCO Institute of Statistics has published a “Cheat Sheet for SDG4 Indicators” using the language of high stakes assessment and convergent global goals</w:t>
      </w:r>
      <w:r w:rsidR="00491884" w:rsidRPr="00264F3F">
        <w:rPr>
          <w:rFonts w:ascii="Times New Roman" w:hAnsi="Times New Roman"/>
          <w:sz w:val="24"/>
          <w:szCs w:val="24"/>
        </w:rPr>
        <w:t xml:space="preserve"> to implying </w:t>
      </w:r>
      <w:r w:rsidR="00B809EA">
        <w:rPr>
          <w:rFonts w:ascii="Times New Roman" w:hAnsi="Times New Roman"/>
          <w:sz w:val="24"/>
          <w:szCs w:val="24"/>
        </w:rPr>
        <w:t>somehow that they constitute a m</w:t>
      </w:r>
      <w:r w:rsidR="00491884" w:rsidRPr="00264F3F">
        <w:rPr>
          <w:rFonts w:ascii="Times New Roman" w:hAnsi="Times New Roman"/>
          <w:sz w:val="24"/>
          <w:szCs w:val="24"/>
        </w:rPr>
        <w:t>antra to be remembered and repeated on request</w:t>
      </w:r>
      <w:r w:rsidR="001E5A5C">
        <w:rPr>
          <w:rFonts w:ascii="Times New Roman" w:hAnsi="Times New Roman"/>
          <w:sz w:val="24"/>
          <w:szCs w:val="24"/>
        </w:rPr>
        <w:t xml:space="preserve"> (UNESCO 2019)</w:t>
      </w:r>
      <w:r w:rsidR="00491884" w:rsidRPr="00264F3F">
        <w:rPr>
          <w:rFonts w:ascii="Times New Roman" w:hAnsi="Times New Roman"/>
          <w:sz w:val="24"/>
          <w:szCs w:val="24"/>
        </w:rPr>
        <w:t xml:space="preserve">. CMSs with a clear idea of their national development strategies may wish to develop there own “cheat sheet” of what is important lined to a coherent theory of development that can shape investment decisions. This at least would mean the target setter and target getters spoke the same language.   </w:t>
      </w:r>
    </w:p>
    <w:p w14:paraId="6D75E27C" w14:textId="77777777" w:rsidR="0000722E" w:rsidRDefault="0000722E" w:rsidP="00264F3F">
      <w:pPr>
        <w:jc w:val="both"/>
        <w:rPr>
          <w:rFonts w:ascii="Times New Roman" w:hAnsi="Times New Roman"/>
          <w:sz w:val="24"/>
          <w:szCs w:val="24"/>
        </w:rPr>
      </w:pPr>
    </w:p>
    <w:p w14:paraId="3D0D5C4F" w14:textId="25AA7047" w:rsidR="0000722E" w:rsidRDefault="0000722E" w:rsidP="0000722E">
      <w:pPr>
        <w:jc w:val="both"/>
        <w:rPr>
          <w:rFonts w:ascii="Times New Roman" w:hAnsi="Times New Roman"/>
          <w:sz w:val="24"/>
          <w:szCs w:val="24"/>
        </w:rPr>
      </w:pPr>
      <w:r>
        <w:rPr>
          <w:rFonts w:ascii="Times New Roman" w:hAnsi="Times New Roman"/>
          <w:sz w:val="24"/>
          <w:szCs w:val="24"/>
        </w:rPr>
        <w:t xml:space="preserve">Seventh, </w:t>
      </w:r>
      <w:r w:rsidR="00B809EA">
        <w:rPr>
          <w:rFonts w:ascii="Times New Roman" w:hAnsi="Times New Roman"/>
          <w:sz w:val="24"/>
          <w:szCs w:val="24"/>
        </w:rPr>
        <w:t>T</w:t>
      </w:r>
      <w:r>
        <w:rPr>
          <w:rFonts w:ascii="Times New Roman" w:hAnsi="Times New Roman"/>
          <w:sz w:val="24"/>
          <w:szCs w:val="24"/>
        </w:rPr>
        <w:t>he formulation of SDG 4 gives no indication and provides no environmentally sustainable targets or indicators for educational</w:t>
      </w:r>
      <w:r w:rsidR="00C808DE">
        <w:rPr>
          <w:rFonts w:ascii="Times New Roman" w:hAnsi="Times New Roman"/>
          <w:sz w:val="24"/>
          <w:szCs w:val="24"/>
        </w:rPr>
        <w:t xml:space="preserve"> development despite the fact education</w:t>
      </w:r>
      <w:r>
        <w:rPr>
          <w:rFonts w:ascii="Times New Roman" w:hAnsi="Times New Roman"/>
          <w:sz w:val="24"/>
          <w:szCs w:val="24"/>
        </w:rPr>
        <w:t xml:space="preserve"> is one of the largest sources of employment, non renewable energy use, </w:t>
      </w:r>
      <w:r w:rsidR="00C808DE">
        <w:rPr>
          <w:rFonts w:ascii="Times New Roman" w:hAnsi="Times New Roman"/>
          <w:sz w:val="24"/>
          <w:szCs w:val="24"/>
        </w:rPr>
        <w:t xml:space="preserve">and </w:t>
      </w:r>
      <w:r>
        <w:rPr>
          <w:rFonts w:ascii="Times New Roman" w:hAnsi="Times New Roman"/>
          <w:sz w:val="24"/>
          <w:szCs w:val="24"/>
        </w:rPr>
        <w:t>polluting commuting</w:t>
      </w:r>
      <w:r w:rsidR="00C808DE">
        <w:rPr>
          <w:rFonts w:ascii="Times New Roman" w:hAnsi="Times New Roman"/>
          <w:sz w:val="24"/>
          <w:szCs w:val="24"/>
        </w:rPr>
        <w:t>. It is also</w:t>
      </w:r>
      <w:r>
        <w:rPr>
          <w:rFonts w:ascii="Times New Roman" w:hAnsi="Times New Roman"/>
          <w:sz w:val="24"/>
          <w:szCs w:val="24"/>
        </w:rPr>
        <w:t xml:space="preserve"> one of the few places that can provide disinterested insight into the challenges of planetary husbandry to change attitudes and </w:t>
      </w:r>
      <w:r w:rsidR="00F228C9">
        <w:rPr>
          <w:rFonts w:ascii="Times New Roman" w:hAnsi="Times New Roman"/>
          <w:sz w:val="24"/>
          <w:szCs w:val="24"/>
        </w:rPr>
        <w:t xml:space="preserve">develop </w:t>
      </w:r>
      <w:r>
        <w:rPr>
          <w:rFonts w:ascii="Times New Roman" w:hAnsi="Times New Roman"/>
          <w:sz w:val="24"/>
          <w:szCs w:val="24"/>
        </w:rPr>
        <w:t>understand</w:t>
      </w:r>
      <w:r w:rsidR="00F228C9">
        <w:rPr>
          <w:rFonts w:ascii="Times New Roman" w:hAnsi="Times New Roman"/>
          <w:sz w:val="24"/>
          <w:szCs w:val="24"/>
        </w:rPr>
        <w:t>ing of sustainability in</w:t>
      </w:r>
      <w:r>
        <w:rPr>
          <w:rFonts w:ascii="Times New Roman" w:hAnsi="Times New Roman"/>
          <w:sz w:val="24"/>
          <w:szCs w:val="24"/>
        </w:rPr>
        <w:t xml:space="preserve"> the next generation. </w:t>
      </w:r>
      <w:r w:rsidR="00A3703F">
        <w:rPr>
          <w:rFonts w:ascii="Times New Roman" w:hAnsi="Times New Roman"/>
          <w:sz w:val="24"/>
          <w:szCs w:val="24"/>
        </w:rPr>
        <w:t xml:space="preserve">The CMSs could seek to develop planet friendly environmental protocols for educational development. </w:t>
      </w:r>
    </w:p>
    <w:p w14:paraId="449B2874" w14:textId="77777777" w:rsidR="0000722E" w:rsidRDefault="0000722E" w:rsidP="0000722E">
      <w:pPr>
        <w:jc w:val="both"/>
        <w:rPr>
          <w:rFonts w:ascii="Times New Roman" w:hAnsi="Times New Roman"/>
          <w:sz w:val="24"/>
          <w:szCs w:val="24"/>
        </w:rPr>
      </w:pPr>
    </w:p>
    <w:p w14:paraId="0F6BB73F" w14:textId="2BF457D7" w:rsidR="0000722E" w:rsidRPr="00B305CA" w:rsidRDefault="0000722E" w:rsidP="0000722E">
      <w:pPr>
        <w:jc w:val="both"/>
        <w:rPr>
          <w:rFonts w:ascii="Times New Roman" w:hAnsi="Times New Roman"/>
          <w:sz w:val="24"/>
          <w:szCs w:val="24"/>
        </w:rPr>
      </w:pPr>
      <w:r>
        <w:rPr>
          <w:rFonts w:ascii="Times New Roman" w:hAnsi="Times New Roman"/>
          <w:sz w:val="24"/>
          <w:szCs w:val="24"/>
        </w:rPr>
        <w:t>Eight</w:t>
      </w:r>
      <w:r w:rsidR="00A3703F">
        <w:rPr>
          <w:rFonts w:ascii="Times New Roman" w:hAnsi="Times New Roman"/>
          <w:sz w:val="24"/>
          <w:szCs w:val="24"/>
        </w:rPr>
        <w:t>h</w:t>
      </w:r>
      <w:r>
        <w:rPr>
          <w:rFonts w:ascii="Times New Roman" w:hAnsi="Times New Roman"/>
          <w:sz w:val="24"/>
          <w:szCs w:val="24"/>
        </w:rPr>
        <w:t xml:space="preserve">, though SDG 4.7 is concerned with global citizenship it just scratches the surface of the need to transform learning goals and plan education systems to minimise the burden on future generations. It is conspicuously not concerned with national </w:t>
      </w:r>
      <w:proofErr w:type="gramStart"/>
      <w:r>
        <w:rPr>
          <w:rFonts w:ascii="Times New Roman" w:hAnsi="Times New Roman"/>
          <w:sz w:val="24"/>
          <w:szCs w:val="24"/>
        </w:rPr>
        <w:t>citizenship which</w:t>
      </w:r>
      <w:proofErr w:type="gramEnd"/>
      <w:r>
        <w:rPr>
          <w:rFonts w:ascii="Times New Roman" w:hAnsi="Times New Roman"/>
          <w:sz w:val="24"/>
          <w:szCs w:val="24"/>
        </w:rPr>
        <w:t xml:space="preserve"> many think is a precondition for global citizenship. Within the CMSs there are millions of people whose citizenship is compromised and ambiguous. This includes internal and cross border migrants, excluded social groups, those with disability, and those without adequate documentation. The CMGTs noted migration as a cross cutting theme and stressed the importance of more inclusive approaches to citizenship, especially of children. The issues of citizenship in CMS are central to sustainable development. </w:t>
      </w:r>
    </w:p>
    <w:p w14:paraId="6D22B6E1" w14:textId="058209D6" w:rsidR="00491884" w:rsidRPr="00264F3F" w:rsidRDefault="00491884" w:rsidP="00264F3F">
      <w:pPr>
        <w:jc w:val="both"/>
        <w:rPr>
          <w:rFonts w:ascii="Times New Roman" w:hAnsi="Times New Roman"/>
          <w:sz w:val="24"/>
          <w:szCs w:val="24"/>
        </w:rPr>
      </w:pPr>
    </w:p>
    <w:p w14:paraId="6CC39B6A" w14:textId="38CB42C6" w:rsidR="00B75305" w:rsidRPr="00264F3F" w:rsidRDefault="00A3703F" w:rsidP="00264F3F">
      <w:pPr>
        <w:jc w:val="both"/>
        <w:rPr>
          <w:rFonts w:ascii="Times New Roman" w:hAnsi="Times New Roman"/>
          <w:sz w:val="24"/>
          <w:szCs w:val="24"/>
        </w:rPr>
      </w:pPr>
      <w:r>
        <w:rPr>
          <w:rFonts w:ascii="Times New Roman" w:hAnsi="Times New Roman"/>
          <w:sz w:val="24"/>
          <w:szCs w:val="24"/>
        </w:rPr>
        <w:t xml:space="preserve">Ninth, </w:t>
      </w:r>
      <w:r w:rsidR="008D5E07">
        <w:rPr>
          <w:rFonts w:ascii="Times New Roman" w:hAnsi="Times New Roman"/>
          <w:sz w:val="24"/>
          <w:szCs w:val="24"/>
        </w:rPr>
        <w:t>m</w:t>
      </w:r>
      <w:r w:rsidR="00491884" w:rsidRPr="00264F3F">
        <w:rPr>
          <w:rFonts w:ascii="Times New Roman" w:hAnsi="Times New Roman"/>
          <w:sz w:val="24"/>
          <w:szCs w:val="24"/>
        </w:rPr>
        <w:t xml:space="preserve">any in the low income </w:t>
      </w:r>
      <w:r>
        <w:rPr>
          <w:rFonts w:ascii="Times New Roman" w:hAnsi="Times New Roman"/>
          <w:sz w:val="24"/>
          <w:szCs w:val="24"/>
        </w:rPr>
        <w:t>CMS</w:t>
      </w:r>
      <w:r w:rsidR="00491884" w:rsidRPr="00264F3F">
        <w:rPr>
          <w:rFonts w:ascii="Times New Roman" w:hAnsi="Times New Roman"/>
          <w:sz w:val="24"/>
          <w:szCs w:val="24"/>
        </w:rPr>
        <w:t xml:space="preserve"> will have noted that t</w:t>
      </w:r>
      <w:r w:rsidR="00B75305" w:rsidRPr="00264F3F">
        <w:rPr>
          <w:rFonts w:ascii="Times New Roman" w:hAnsi="Times New Roman"/>
          <w:sz w:val="24"/>
          <w:szCs w:val="24"/>
        </w:rPr>
        <w:t xml:space="preserve">he “learning crisis” flagged by the World Bank </w:t>
      </w:r>
      <w:r w:rsidR="00491884" w:rsidRPr="00264F3F">
        <w:rPr>
          <w:rFonts w:ascii="Times New Roman" w:hAnsi="Times New Roman"/>
          <w:sz w:val="24"/>
          <w:szCs w:val="24"/>
        </w:rPr>
        <w:t xml:space="preserve">in 2018 </w:t>
      </w:r>
      <w:r w:rsidR="00B75305" w:rsidRPr="00264F3F">
        <w:rPr>
          <w:rFonts w:ascii="Times New Roman" w:hAnsi="Times New Roman"/>
          <w:sz w:val="24"/>
          <w:szCs w:val="24"/>
        </w:rPr>
        <w:t xml:space="preserve">is actually more of a financing crisis than a sudden discovery that children are not learning at OECD levels in </w:t>
      </w:r>
      <w:r w:rsidR="00491884" w:rsidRPr="00264F3F">
        <w:rPr>
          <w:rFonts w:ascii="Times New Roman" w:hAnsi="Times New Roman"/>
          <w:sz w:val="24"/>
          <w:szCs w:val="24"/>
        </w:rPr>
        <w:t xml:space="preserve">CMS </w:t>
      </w:r>
      <w:r w:rsidR="00B75305" w:rsidRPr="00264F3F">
        <w:rPr>
          <w:rFonts w:ascii="Times New Roman" w:hAnsi="Times New Roman"/>
          <w:sz w:val="24"/>
          <w:szCs w:val="24"/>
        </w:rPr>
        <w:t>LICs and LMICs</w:t>
      </w:r>
      <w:r w:rsidR="00434ABD">
        <w:rPr>
          <w:rFonts w:ascii="Times New Roman" w:hAnsi="Times New Roman"/>
          <w:sz w:val="24"/>
          <w:szCs w:val="24"/>
        </w:rPr>
        <w:t xml:space="preserve"> (World Bank 2018, Lewin 2018).</w:t>
      </w:r>
      <w:r w:rsidR="00B75305" w:rsidRPr="00264F3F">
        <w:rPr>
          <w:rFonts w:ascii="Times New Roman" w:hAnsi="Times New Roman"/>
          <w:sz w:val="24"/>
          <w:szCs w:val="24"/>
        </w:rPr>
        <w:t xml:space="preserve"> Many more children are in school and much more learning is taking place </w:t>
      </w:r>
      <w:r w:rsidR="00491884" w:rsidRPr="00264F3F">
        <w:rPr>
          <w:rFonts w:ascii="Times New Roman" w:hAnsi="Times New Roman"/>
          <w:sz w:val="24"/>
          <w:szCs w:val="24"/>
        </w:rPr>
        <w:t xml:space="preserve">in CMSs </w:t>
      </w:r>
      <w:r w:rsidR="00B75305" w:rsidRPr="00264F3F">
        <w:rPr>
          <w:rFonts w:ascii="Times New Roman" w:hAnsi="Times New Roman"/>
          <w:sz w:val="24"/>
          <w:szCs w:val="24"/>
        </w:rPr>
        <w:t>than in 2000 or 1990.</w:t>
      </w:r>
      <w:r w:rsidR="00491884" w:rsidRPr="00264F3F">
        <w:rPr>
          <w:rFonts w:ascii="Times New Roman" w:hAnsi="Times New Roman"/>
          <w:sz w:val="24"/>
          <w:szCs w:val="24"/>
        </w:rPr>
        <w:t xml:space="preserve"> This is a very good news story.</w:t>
      </w:r>
      <w:r w:rsidR="0007750D">
        <w:rPr>
          <w:rFonts w:ascii="Times New Roman" w:hAnsi="Times New Roman"/>
          <w:sz w:val="24"/>
          <w:szCs w:val="24"/>
        </w:rPr>
        <w:t xml:space="preserve"> So also is the fact that many CMS are becoming fiscal states. The appetite for more aid to education appears to have been softening part</w:t>
      </w:r>
      <w:r w:rsidR="00AD743C">
        <w:rPr>
          <w:rFonts w:ascii="Times New Roman" w:hAnsi="Times New Roman"/>
          <w:sz w:val="24"/>
          <w:szCs w:val="24"/>
        </w:rPr>
        <w:t>ly for these reasons</w:t>
      </w:r>
      <w:r w:rsidR="0007750D">
        <w:rPr>
          <w:rFonts w:ascii="Times New Roman" w:hAnsi="Times New Roman"/>
          <w:sz w:val="24"/>
          <w:szCs w:val="24"/>
        </w:rPr>
        <w:t>. In 1990 Africa received twice as much in aid as it generated in domestic revenue. By</w:t>
      </w:r>
      <w:r w:rsidR="0065360B">
        <w:rPr>
          <w:rFonts w:ascii="Times New Roman" w:hAnsi="Times New Roman"/>
          <w:sz w:val="24"/>
          <w:szCs w:val="24"/>
        </w:rPr>
        <w:t xml:space="preserve"> </w:t>
      </w:r>
      <w:r w:rsidR="0007750D">
        <w:rPr>
          <w:rFonts w:ascii="Times New Roman" w:hAnsi="Times New Roman"/>
          <w:sz w:val="24"/>
          <w:szCs w:val="24"/>
        </w:rPr>
        <w:t>2015 the opposite was true. This rewrites the map of external assistance to education into the future. If the purpose of aid is to accelerate development a</w:t>
      </w:r>
      <w:r w:rsidR="00AD743C">
        <w:rPr>
          <w:rFonts w:ascii="Times New Roman" w:hAnsi="Times New Roman"/>
          <w:sz w:val="24"/>
          <w:szCs w:val="24"/>
        </w:rPr>
        <w:t>n</w:t>
      </w:r>
      <w:r w:rsidR="0007750D">
        <w:rPr>
          <w:rFonts w:ascii="Times New Roman" w:hAnsi="Times New Roman"/>
          <w:sz w:val="24"/>
          <w:szCs w:val="24"/>
        </w:rPr>
        <w:t xml:space="preserve">d this works as a strategy then the number of recipients should fall as countries develop and become fiscal states. Some CMSs have led the way in showing </w:t>
      </w:r>
      <w:r w:rsidR="008D5E07">
        <w:rPr>
          <w:rFonts w:ascii="Times New Roman" w:hAnsi="Times New Roman"/>
          <w:sz w:val="24"/>
          <w:szCs w:val="24"/>
        </w:rPr>
        <w:t>t</w:t>
      </w:r>
      <w:r w:rsidR="0007750D">
        <w:rPr>
          <w:rFonts w:ascii="Times New Roman" w:hAnsi="Times New Roman"/>
          <w:sz w:val="24"/>
          <w:szCs w:val="24"/>
        </w:rPr>
        <w:t>hat this can happen</w:t>
      </w:r>
      <w:r w:rsidR="00731AAF">
        <w:rPr>
          <w:rFonts w:ascii="Times New Roman" w:hAnsi="Times New Roman"/>
          <w:sz w:val="24"/>
          <w:szCs w:val="24"/>
        </w:rPr>
        <w:t xml:space="preserve"> by becoming less and less dependent on aid.</w:t>
      </w:r>
      <w:r w:rsidR="008D5E07">
        <w:rPr>
          <w:rFonts w:ascii="Times New Roman" w:hAnsi="Times New Roman"/>
          <w:sz w:val="24"/>
          <w:szCs w:val="24"/>
        </w:rPr>
        <w:t xml:space="preserve"> This is one area where Ministers of Education along with Minsters of Finance can demonstrate how to achieve sustainable educational development without more aid and more debt.  </w:t>
      </w:r>
      <w:r w:rsidR="00731AAF">
        <w:rPr>
          <w:rFonts w:ascii="Times New Roman" w:hAnsi="Times New Roman"/>
          <w:sz w:val="24"/>
          <w:szCs w:val="24"/>
        </w:rPr>
        <w:t xml:space="preserve"> </w:t>
      </w:r>
      <w:r w:rsidR="0007750D">
        <w:rPr>
          <w:rFonts w:ascii="Times New Roman" w:hAnsi="Times New Roman"/>
          <w:sz w:val="24"/>
          <w:szCs w:val="24"/>
        </w:rPr>
        <w:t xml:space="preserve">      </w:t>
      </w:r>
      <w:r w:rsidR="00491884" w:rsidRPr="00264F3F">
        <w:rPr>
          <w:rFonts w:ascii="Times New Roman" w:hAnsi="Times New Roman"/>
          <w:sz w:val="24"/>
          <w:szCs w:val="24"/>
        </w:rPr>
        <w:t xml:space="preserve"> </w:t>
      </w:r>
      <w:r w:rsidR="00B75305" w:rsidRPr="00264F3F">
        <w:rPr>
          <w:rFonts w:ascii="Times New Roman" w:hAnsi="Times New Roman"/>
          <w:sz w:val="24"/>
          <w:szCs w:val="24"/>
        </w:rPr>
        <w:t xml:space="preserve">  </w:t>
      </w:r>
    </w:p>
    <w:p w14:paraId="77961C3E" w14:textId="77777777" w:rsidR="00AB64B4" w:rsidRDefault="00AB64B4" w:rsidP="00264F3F">
      <w:pPr>
        <w:jc w:val="both"/>
        <w:rPr>
          <w:rFonts w:ascii="Times New Roman" w:hAnsi="Times New Roman"/>
          <w:sz w:val="24"/>
          <w:szCs w:val="24"/>
        </w:rPr>
      </w:pPr>
    </w:p>
    <w:p w14:paraId="14D9B92C" w14:textId="7561D727" w:rsidR="00607BD6" w:rsidRPr="00607BD6" w:rsidRDefault="00607BD6" w:rsidP="00B305CA">
      <w:pPr>
        <w:pStyle w:val="Heading2"/>
      </w:pPr>
      <w:bookmarkStart w:id="8" w:name="_Toc421181406"/>
      <w:r w:rsidRPr="00607BD6">
        <w:t>A Programme for Action towards 2030</w:t>
      </w:r>
      <w:bookmarkEnd w:id="8"/>
    </w:p>
    <w:p w14:paraId="7FA1986F" w14:textId="77777777" w:rsidR="00607BD6" w:rsidRPr="00264F3F" w:rsidRDefault="00607BD6" w:rsidP="00264F3F">
      <w:pPr>
        <w:jc w:val="both"/>
        <w:rPr>
          <w:rFonts w:ascii="Times New Roman" w:hAnsi="Times New Roman"/>
          <w:sz w:val="24"/>
          <w:szCs w:val="24"/>
        </w:rPr>
      </w:pPr>
    </w:p>
    <w:p w14:paraId="2B83C2EA" w14:textId="02ECBDB6" w:rsidR="00AA0253" w:rsidRPr="00AA0253" w:rsidRDefault="004337AA" w:rsidP="00AA0253">
      <w:pPr>
        <w:jc w:val="both"/>
        <w:rPr>
          <w:rFonts w:ascii="Times New Roman" w:hAnsi="Times New Roman"/>
          <w:sz w:val="24"/>
          <w:szCs w:val="24"/>
        </w:rPr>
      </w:pPr>
      <w:r>
        <w:rPr>
          <w:rFonts w:ascii="Times New Roman" w:hAnsi="Times New Roman"/>
          <w:sz w:val="24"/>
          <w:szCs w:val="24"/>
        </w:rPr>
        <w:t xml:space="preserve">A programme for action for CMSs </w:t>
      </w:r>
      <w:r w:rsidR="00B305CA">
        <w:rPr>
          <w:rFonts w:ascii="Times New Roman" w:hAnsi="Times New Roman"/>
          <w:sz w:val="24"/>
          <w:szCs w:val="24"/>
        </w:rPr>
        <w:t xml:space="preserve">can be built from </w:t>
      </w:r>
      <w:r>
        <w:rPr>
          <w:rFonts w:ascii="Times New Roman" w:hAnsi="Times New Roman"/>
          <w:sz w:val="24"/>
          <w:szCs w:val="24"/>
        </w:rPr>
        <w:t xml:space="preserve">the issues identified </w:t>
      </w:r>
      <w:r w:rsidR="00B305CA">
        <w:rPr>
          <w:rFonts w:ascii="Times New Roman" w:hAnsi="Times New Roman"/>
          <w:sz w:val="24"/>
          <w:szCs w:val="24"/>
        </w:rPr>
        <w:t>above</w:t>
      </w:r>
      <w:r w:rsidR="00F6502A">
        <w:rPr>
          <w:rFonts w:ascii="Times New Roman" w:hAnsi="Times New Roman"/>
          <w:sz w:val="24"/>
          <w:szCs w:val="24"/>
        </w:rPr>
        <w:t xml:space="preserve"> and fed into the next CHOGM in 2020 and the 21</w:t>
      </w:r>
      <w:r w:rsidR="00F6502A" w:rsidRPr="00F6502A">
        <w:rPr>
          <w:rFonts w:ascii="Times New Roman" w:hAnsi="Times New Roman"/>
          <w:sz w:val="24"/>
          <w:szCs w:val="24"/>
          <w:vertAlign w:val="superscript"/>
        </w:rPr>
        <w:t>st</w:t>
      </w:r>
      <w:r w:rsidR="00F6502A">
        <w:rPr>
          <w:rFonts w:ascii="Times New Roman" w:hAnsi="Times New Roman"/>
          <w:sz w:val="24"/>
          <w:szCs w:val="24"/>
        </w:rPr>
        <w:t xml:space="preserve"> CCEM in 2021</w:t>
      </w:r>
      <w:r w:rsidR="006E431E">
        <w:rPr>
          <w:rFonts w:ascii="Times New Roman" w:hAnsi="Times New Roman"/>
          <w:sz w:val="24"/>
          <w:szCs w:val="24"/>
        </w:rPr>
        <w:t xml:space="preserve"> and the follow up to the CCEM20 in Fiji in 2018. </w:t>
      </w:r>
      <w:r w:rsidR="00727244">
        <w:rPr>
          <w:rFonts w:ascii="Times New Roman" w:hAnsi="Times New Roman"/>
          <w:sz w:val="24"/>
          <w:szCs w:val="24"/>
        </w:rPr>
        <w:t>S</w:t>
      </w:r>
      <w:r>
        <w:rPr>
          <w:rFonts w:ascii="Times New Roman" w:hAnsi="Times New Roman"/>
          <w:sz w:val="24"/>
          <w:szCs w:val="24"/>
        </w:rPr>
        <w:t xml:space="preserve">pecific solutions </w:t>
      </w:r>
      <w:r w:rsidR="00727244">
        <w:rPr>
          <w:rFonts w:ascii="Times New Roman" w:hAnsi="Times New Roman"/>
          <w:sz w:val="24"/>
          <w:szCs w:val="24"/>
        </w:rPr>
        <w:t xml:space="preserve">are needed </w:t>
      </w:r>
      <w:r>
        <w:rPr>
          <w:rFonts w:ascii="Times New Roman" w:hAnsi="Times New Roman"/>
          <w:sz w:val="24"/>
          <w:szCs w:val="24"/>
        </w:rPr>
        <w:t xml:space="preserve">at national </w:t>
      </w:r>
      <w:proofErr w:type="gramStart"/>
      <w:r>
        <w:rPr>
          <w:rFonts w:ascii="Times New Roman" w:hAnsi="Times New Roman"/>
          <w:sz w:val="24"/>
          <w:szCs w:val="24"/>
        </w:rPr>
        <w:t>level</w:t>
      </w:r>
      <w:r w:rsidR="00727244">
        <w:rPr>
          <w:rFonts w:ascii="Times New Roman" w:hAnsi="Times New Roman"/>
          <w:sz w:val="24"/>
          <w:szCs w:val="24"/>
        </w:rPr>
        <w:t xml:space="preserve"> that capture</w:t>
      </w:r>
      <w:proofErr w:type="gramEnd"/>
      <w:r w:rsidR="00727244">
        <w:rPr>
          <w:rFonts w:ascii="Times New Roman" w:hAnsi="Times New Roman"/>
          <w:sz w:val="24"/>
          <w:szCs w:val="24"/>
        </w:rPr>
        <w:t xml:space="preserve"> the essence of both sustainable educational development (SED) and education</w:t>
      </w:r>
      <w:r w:rsidR="00347888">
        <w:rPr>
          <w:rFonts w:ascii="Times New Roman" w:hAnsi="Times New Roman"/>
          <w:sz w:val="24"/>
          <w:szCs w:val="24"/>
        </w:rPr>
        <w:t xml:space="preserve"> for sustainable development (ES</w:t>
      </w:r>
      <w:r w:rsidR="00727244">
        <w:rPr>
          <w:rFonts w:ascii="Times New Roman" w:hAnsi="Times New Roman"/>
          <w:sz w:val="24"/>
          <w:szCs w:val="24"/>
        </w:rPr>
        <w:t xml:space="preserve">D). </w:t>
      </w:r>
      <w:r w:rsidR="00AA0253" w:rsidRPr="00AA0253">
        <w:rPr>
          <w:rFonts w:ascii="Times New Roman" w:hAnsi="Times New Roman"/>
          <w:sz w:val="24"/>
          <w:szCs w:val="24"/>
        </w:rPr>
        <w:t xml:space="preserve">SED is concerned </w:t>
      </w:r>
      <w:r w:rsidR="00347888">
        <w:rPr>
          <w:rFonts w:ascii="Times New Roman" w:hAnsi="Times New Roman"/>
          <w:sz w:val="24"/>
          <w:szCs w:val="24"/>
        </w:rPr>
        <w:t xml:space="preserve">with the conditions that enable states to realise rights to education without post-colonial dependence </w:t>
      </w:r>
      <w:r w:rsidR="00B809EA">
        <w:rPr>
          <w:rFonts w:ascii="Times New Roman" w:hAnsi="Times New Roman"/>
          <w:sz w:val="24"/>
          <w:szCs w:val="24"/>
        </w:rPr>
        <w:t xml:space="preserve">on </w:t>
      </w:r>
      <w:r w:rsidR="00347888">
        <w:rPr>
          <w:rFonts w:ascii="Times New Roman" w:hAnsi="Times New Roman"/>
          <w:sz w:val="24"/>
          <w:szCs w:val="24"/>
        </w:rPr>
        <w:t>external</w:t>
      </w:r>
      <w:r w:rsidR="00B809EA">
        <w:rPr>
          <w:rFonts w:ascii="Times New Roman" w:hAnsi="Times New Roman"/>
          <w:sz w:val="24"/>
          <w:szCs w:val="24"/>
        </w:rPr>
        <w:t xml:space="preserve"> assistance</w:t>
      </w:r>
      <w:r w:rsidR="00347888">
        <w:rPr>
          <w:rFonts w:ascii="Times New Roman" w:hAnsi="Times New Roman"/>
          <w:sz w:val="24"/>
          <w:szCs w:val="24"/>
        </w:rPr>
        <w:t xml:space="preserve"> or acquiring unsustainable debt. It is concerned with educational infrastructure and the maintenance and development of systems for learning and their financing from domestic revenues. In contrast </w:t>
      </w:r>
      <w:r w:rsidR="00AA0253" w:rsidRPr="00AA0253">
        <w:rPr>
          <w:rFonts w:ascii="Times New Roman" w:hAnsi="Times New Roman"/>
          <w:sz w:val="24"/>
          <w:szCs w:val="24"/>
        </w:rPr>
        <w:t>ESD is a response to the urgent need to transform educational curricula and learning outcomes to lead not</w:t>
      </w:r>
      <w:r w:rsidR="00347888">
        <w:rPr>
          <w:rFonts w:ascii="Times New Roman" w:hAnsi="Times New Roman"/>
          <w:sz w:val="24"/>
          <w:szCs w:val="24"/>
        </w:rPr>
        <w:t xml:space="preserve"> lag changes in </w:t>
      </w:r>
      <w:r w:rsidR="00AA0253" w:rsidRPr="00AA0253">
        <w:rPr>
          <w:rFonts w:ascii="Times New Roman" w:hAnsi="Times New Roman"/>
          <w:sz w:val="24"/>
          <w:szCs w:val="24"/>
        </w:rPr>
        <w:t>environmental stress points, demographic transitions</w:t>
      </w:r>
      <w:r w:rsidR="00347888">
        <w:rPr>
          <w:rFonts w:ascii="Times New Roman" w:hAnsi="Times New Roman"/>
          <w:sz w:val="24"/>
          <w:szCs w:val="24"/>
        </w:rPr>
        <w:t>, employment</w:t>
      </w:r>
      <w:r w:rsidR="00AA0253" w:rsidRPr="00AA0253">
        <w:rPr>
          <w:rFonts w:ascii="Times New Roman" w:hAnsi="Times New Roman"/>
          <w:sz w:val="24"/>
          <w:szCs w:val="24"/>
        </w:rPr>
        <w:t xml:space="preserve"> and threats to social </w:t>
      </w:r>
      <w:r w:rsidR="00B809EA">
        <w:rPr>
          <w:rFonts w:ascii="Times New Roman" w:hAnsi="Times New Roman"/>
          <w:sz w:val="24"/>
          <w:szCs w:val="24"/>
        </w:rPr>
        <w:t xml:space="preserve">and economic </w:t>
      </w:r>
      <w:r w:rsidR="00347888">
        <w:rPr>
          <w:rFonts w:ascii="Times New Roman" w:hAnsi="Times New Roman"/>
          <w:sz w:val="24"/>
          <w:szCs w:val="24"/>
        </w:rPr>
        <w:t xml:space="preserve">wellbeing. </w:t>
      </w:r>
      <w:r w:rsidR="00AA0253" w:rsidRPr="00AA0253">
        <w:rPr>
          <w:rFonts w:ascii="Times New Roman" w:hAnsi="Times New Roman"/>
          <w:sz w:val="24"/>
          <w:szCs w:val="24"/>
        </w:rPr>
        <w:t xml:space="preserve"> </w:t>
      </w:r>
    </w:p>
    <w:p w14:paraId="263340F5" w14:textId="5288E7B0" w:rsidR="0005279B" w:rsidRPr="00264F3F" w:rsidRDefault="0005279B" w:rsidP="0005279B">
      <w:pPr>
        <w:jc w:val="both"/>
        <w:rPr>
          <w:rFonts w:ascii="Times New Roman" w:hAnsi="Times New Roman"/>
          <w:sz w:val="24"/>
          <w:szCs w:val="24"/>
        </w:rPr>
      </w:pPr>
    </w:p>
    <w:p w14:paraId="458C7A89" w14:textId="329BDEC7" w:rsidR="0005279B" w:rsidRDefault="00500157" w:rsidP="0005279B">
      <w:pPr>
        <w:jc w:val="both"/>
        <w:rPr>
          <w:rFonts w:ascii="Times New Roman" w:hAnsi="Times New Roman"/>
          <w:sz w:val="24"/>
          <w:szCs w:val="24"/>
        </w:rPr>
      </w:pPr>
      <w:r>
        <w:rPr>
          <w:rFonts w:ascii="Times New Roman" w:hAnsi="Times New Roman"/>
          <w:sz w:val="24"/>
          <w:szCs w:val="24"/>
        </w:rPr>
        <w:t xml:space="preserve">The Issues Paper for CCEM 20 was focused on Sustainability and Resilience: Can Education Deliver? </w:t>
      </w:r>
      <w:r w:rsidR="006E431E">
        <w:rPr>
          <w:rFonts w:ascii="Times New Roman" w:hAnsi="Times New Roman"/>
          <w:sz w:val="24"/>
          <w:szCs w:val="24"/>
        </w:rPr>
        <w:t xml:space="preserve">(Commonwealth Secretariat, 2018) </w:t>
      </w:r>
      <w:r w:rsidR="0005279B" w:rsidRPr="00264F3F">
        <w:rPr>
          <w:rFonts w:ascii="Times New Roman" w:hAnsi="Times New Roman"/>
          <w:sz w:val="24"/>
          <w:szCs w:val="24"/>
        </w:rPr>
        <w:t xml:space="preserve">In the medium term, both resilience and sustainable development mean that education systems must be financed from domestic revenues. This includes both income from taxation on individuals and corporate entities, and investment from the private sector and contributions from philanthropists. </w:t>
      </w:r>
      <w:r>
        <w:rPr>
          <w:rFonts w:ascii="Times New Roman" w:hAnsi="Times New Roman"/>
          <w:sz w:val="24"/>
          <w:szCs w:val="24"/>
        </w:rPr>
        <w:t>SED depends on fiscal reform that</w:t>
      </w:r>
      <w:r w:rsidR="0005279B" w:rsidRPr="00264F3F">
        <w:rPr>
          <w:rFonts w:ascii="Times New Roman" w:hAnsi="Times New Roman"/>
          <w:sz w:val="24"/>
          <w:szCs w:val="24"/>
        </w:rPr>
        <w:t xml:space="preserve"> enable</w:t>
      </w:r>
      <w:r>
        <w:rPr>
          <w:rFonts w:ascii="Times New Roman" w:hAnsi="Times New Roman"/>
          <w:sz w:val="24"/>
          <w:szCs w:val="24"/>
        </w:rPr>
        <w:t xml:space="preserve">s </w:t>
      </w:r>
      <w:r w:rsidR="00AD5DAC">
        <w:rPr>
          <w:rFonts w:ascii="Times New Roman" w:hAnsi="Times New Roman"/>
          <w:sz w:val="24"/>
          <w:szCs w:val="24"/>
        </w:rPr>
        <w:t>core</w:t>
      </w:r>
      <w:r w:rsidR="0005279B" w:rsidRPr="00264F3F">
        <w:rPr>
          <w:rFonts w:ascii="Times New Roman" w:hAnsi="Times New Roman"/>
          <w:sz w:val="24"/>
          <w:szCs w:val="24"/>
        </w:rPr>
        <w:t xml:space="preserve"> public</w:t>
      </w:r>
      <w:r>
        <w:rPr>
          <w:rFonts w:ascii="Times New Roman" w:hAnsi="Times New Roman"/>
          <w:sz w:val="24"/>
          <w:szCs w:val="24"/>
        </w:rPr>
        <w:t xml:space="preserve"> goods like education to be financed from domestic revenue. This, along with enhanced levels of efficiency and effectiveness</w:t>
      </w:r>
      <w:r w:rsidR="00AD5DAC">
        <w:rPr>
          <w:rFonts w:ascii="Times New Roman" w:hAnsi="Times New Roman"/>
          <w:sz w:val="24"/>
          <w:szCs w:val="24"/>
        </w:rPr>
        <w:t xml:space="preserve">, is a major </w:t>
      </w:r>
      <w:r>
        <w:rPr>
          <w:rFonts w:ascii="Times New Roman" w:hAnsi="Times New Roman"/>
          <w:sz w:val="24"/>
          <w:szCs w:val="24"/>
        </w:rPr>
        <w:t xml:space="preserve">reason why high performing CMSs can support mass participation in quality education systems. This is the </w:t>
      </w:r>
      <w:r w:rsidR="0005279B" w:rsidRPr="00264F3F">
        <w:rPr>
          <w:rFonts w:ascii="Times New Roman" w:hAnsi="Times New Roman"/>
          <w:sz w:val="24"/>
          <w:szCs w:val="24"/>
        </w:rPr>
        <w:t xml:space="preserve">only method </w:t>
      </w:r>
      <w:r>
        <w:rPr>
          <w:rFonts w:ascii="Times New Roman" w:hAnsi="Times New Roman"/>
          <w:sz w:val="24"/>
          <w:szCs w:val="24"/>
        </w:rPr>
        <w:t xml:space="preserve">of achieving SED. Fiscal </w:t>
      </w:r>
      <w:r w:rsidR="0005279B" w:rsidRPr="00264F3F">
        <w:rPr>
          <w:rFonts w:ascii="Times New Roman" w:hAnsi="Times New Roman"/>
          <w:sz w:val="24"/>
          <w:szCs w:val="24"/>
        </w:rPr>
        <w:t>reforms are at the heart of the next generation of educational financing</w:t>
      </w:r>
      <w:r>
        <w:rPr>
          <w:rFonts w:ascii="Times New Roman" w:hAnsi="Times New Roman"/>
          <w:sz w:val="24"/>
          <w:szCs w:val="24"/>
        </w:rPr>
        <w:t xml:space="preserve"> and </w:t>
      </w:r>
      <w:r w:rsidR="0005279B" w:rsidRPr="00264F3F">
        <w:rPr>
          <w:rFonts w:ascii="Times New Roman" w:hAnsi="Times New Roman"/>
          <w:sz w:val="24"/>
          <w:szCs w:val="24"/>
        </w:rPr>
        <w:t>can share the mechanisms t</w:t>
      </w:r>
      <w:r>
        <w:rPr>
          <w:rFonts w:ascii="Times New Roman" w:hAnsi="Times New Roman"/>
          <w:sz w:val="24"/>
          <w:szCs w:val="24"/>
        </w:rPr>
        <w:t xml:space="preserve">hat have most potential to </w:t>
      </w:r>
      <w:r w:rsidR="0005279B" w:rsidRPr="00264F3F">
        <w:rPr>
          <w:rFonts w:ascii="Times New Roman" w:hAnsi="Times New Roman"/>
          <w:sz w:val="24"/>
          <w:szCs w:val="24"/>
        </w:rPr>
        <w:t xml:space="preserve">contribute to </w:t>
      </w:r>
      <w:r>
        <w:rPr>
          <w:rFonts w:ascii="Times New Roman" w:hAnsi="Times New Roman"/>
          <w:sz w:val="24"/>
          <w:szCs w:val="24"/>
        </w:rPr>
        <w:t xml:space="preserve">the transition to fiscal states of those CMS that are still aid dependent. </w:t>
      </w:r>
      <w:r w:rsidR="0005279B" w:rsidRPr="00264F3F">
        <w:rPr>
          <w:rFonts w:ascii="Times New Roman" w:hAnsi="Times New Roman"/>
          <w:sz w:val="24"/>
          <w:szCs w:val="24"/>
        </w:rPr>
        <w:t xml:space="preserve"> </w:t>
      </w:r>
    </w:p>
    <w:p w14:paraId="79A01FE9" w14:textId="77777777" w:rsidR="002E30CE" w:rsidRDefault="002E30CE" w:rsidP="002E30CE">
      <w:pPr>
        <w:jc w:val="both"/>
        <w:rPr>
          <w:rFonts w:ascii="Times New Roman" w:hAnsi="Times New Roman"/>
          <w:sz w:val="24"/>
          <w:szCs w:val="24"/>
        </w:rPr>
      </w:pPr>
    </w:p>
    <w:p w14:paraId="0EF52861" w14:textId="20BE36C9" w:rsidR="002E30CE" w:rsidRPr="006608CB" w:rsidRDefault="00B809EA" w:rsidP="002E30CE">
      <w:pPr>
        <w:jc w:val="both"/>
        <w:rPr>
          <w:rFonts w:ascii="Times New Roman" w:hAnsi="Times New Roman"/>
          <w:sz w:val="24"/>
          <w:szCs w:val="24"/>
        </w:rPr>
      </w:pPr>
      <w:r>
        <w:rPr>
          <w:rFonts w:ascii="Times New Roman" w:hAnsi="Times New Roman"/>
          <w:sz w:val="24"/>
          <w:szCs w:val="24"/>
        </w:rPr>
        <w:t xml:space="preserve">Achieving </w:t>
      </w:r>
      <w:r w:rsidR="002E30CE" w:rsidRPr="00264F3F">
        <w:rPr>
          <w:rFonts w:ascii="Times New Roman" w:hAnsi="Times New Roman"/>
          <w:sz w:val="24"/>
          <w:szCs w:val="24"/>
        </w:rPr>
        <w:t xml:space="preserve">large increases in domestic revenue </w:t>
      </w:r>
      <w:r>
        <w:rPr>
          <w:rFonts w:ascii="Times New Roman" w:hAnsi="Times New Roman"/>
          <w:sz w:val="24"/>
          <w:szCs w:val="24"/>
        </w:rPr>
        <w:t xml:space="preserve">where these are low </w:t>
      </w:r>
      <w:r w:rsidR="002E30CE" w:rsidRPr="00264F3F">
        <w:rPr>
          <w:rFonts w:ascii="Times New Roman" w:hAnsi="Times New Roman"/>
          <w:sz w:val="24"/>
          <w:szCs w:val="24"/>
        </w:rPr>
        <w:t xml:space="preserve">will not be easy </w:t>
      </w:r>
      <w:r w:rsidR="002E30CE">
        <w:rPr>
          <w:rFonts w:ascii="Times New Roman" w:hAnsi="Times New Roman"/>
          <w:sz w:val="24"/>
          <w:szCs w:val="24"/>
        </w:rPr>
        <w:t xml:space="preserve">but is feasible over time. It </w:t>
      </w:r>
      <w:r w:rsidR="002E30CE" w:rsidRPr="00264F3F">
        <w:rPr>
          <w:rFonts w:ascii="Times New Roman" w:hAnsi="Times New Roman"/>
          <w:sz w:val="24"/>
          <w:szCs w:val="24"/>
        </w:rPr>
        <w:t>requires substantial fiscal reform</w:t>
      </w:r>
      <w:r w:rsidR="002E30CE">
        <w:rPr>
          <w:rFonts w:ascii="Times New Roman" w:hAnsi="Times New Roman"/>
          <w:sz w:val="24"/>
          <w:szCs w:val="24"/>
        </w:rPr>
        <w:t xml:space="preserve"> that reduces avoidance and evasion, fraud and deliberate transfer pricing to minimise tax.</w:t>
      </w:r>
      <w:r w:rsidR="002E30CE" w:rsidRPr="00264F3F">
        <w:rPr>
          <w:rFonts w:ascii="Times New Roman" w:hAnsi="Times New Roman"/>
          <w:sz w:val="24"/>
          <w:szCs w:val="24"/>
        </w:rPr>
        <w:t xml:space="preserve"> </w:t>
      </w:r>
      <w:r w:rsidR="002E30CE">
        <w:rPr>
          <w:rFonts w:ascii="Times New Roman" w:hAnsi="Times New Roman"/>
          <w:sz w:val="24"/>
          <w:szCs w:val="24"/>
        </w:rPr>
        <w:t>G</w:t>
      </w:r>
      <w:r w:rsidR="002E30CE" w:rsidRPr="00264F3F">
        <w:rPr>
          <w:rFonts w:ascii="Times New Roman" w:hAnsi="Times New Roman"/>
          <w:sz w:val="24"/>
          <w:szCs w:val="24"/>
        </w:rPr>
        <w:t xml:space="preserve">ains from educational reforms that promote greater efficiency and effectiveness could be substantial. This may be the most cost-efficient way of generating more resources. </w:t>
      </w:r>
      <w:r w:rsidR="002E30CE">
        <w:rPr>
          <w:rFonts w:ascii="Times New Roman" w:hAnsi="Times New Roman"/>
          <w:sz w:val="24"/>
          <w:szCs w:val="24"/>
        </w:rPr>
        <w:t>Critically aid should never be used to finance recurrent expenditure (e.g. teachers salaries</w:t>
      </w:r>
      <w:proofErr w:type="gramStart"/>
      <w:r w:rsidR="002E30CE">
        <w:rPr>
          <w:rFonts w:ascii="Times New Roman" w:hAnsi="Times New Roman"/>
          <w:sz w:val="24"/>
          <w:szCs w:val="24"/>
        </w:rPr>
        <w:t>) which</w:t>
      </w:r>
      <w:proofErr w:type="gramEnd"/>
      <w:r w:rsidR="002E30CE">
        <w:rPr>
          <w:rFonts w:ascii="Times New Roman" w:hAnsi="Times New Roman"/>
          <w:sz w:val="24"/>
          <w:szCs w:val="24"/>
        </w:rPr>
        <w:t xml:space="preserve"> is the main element in all education budgets. H</w:t>
      </w:r>
      <w:r w:rsidR="002E30CE" w:rsidRPr="00264F3F">
        <w:rPr>
          <w:rFonts w:ascii="Times New Roman" w:hAnsi="Times New Roman"/>
          <w:sz w:val="24"/>
          <w:szCs w:val="24"/>
        </w:rPr>
        <w:t>igher levels of external support</w:t>
      </w:r>
      <w:r w:rsidR="002E30CE">
        <w:rPr>
          <w:rFonts w:ascii="Times New Roman" w:hAnsi="Times New Roman"/>
          <w:sz w:val="24"/>
          <w:szCs w:val="24"/>
        </w:rPr>
        <w:t xml:space="preserve">, especially if they are needed indefinitely, </w:t>
      </w:r>
      <w:r w:rsidR="002E30CE" w:rsidRPr="00264F3F">
        <w:rPr>
          <w:rFonts w:ascii="Times New Roman" w:hAnsi="Times New Roman"/>
          <w:sz w:val="24"/>
          <w:szCs w:val="24"/>
        </w:rPr>
        <w:t>create aid dependence and distort domestic d</w:t>
      </w:r>
      <w:r w:rsidR="002E30CE">
        <w:rPr>
          <w:rFonts w:ascii="Times New Roman" w:hAnsi="Times New Roman"/>
          <w:sz w:val="24"/>
          <w:szCs w:val="24"/>
        </w:rPr>
        <w:t xml:space="preserve">ecision-making. Aid dependence </w:t>
      </w:r>
      <w:r w:rsidR="002E30CE" w:rsidRPr="00264F3F">
        <w:rPr>
          <w:rFonts w:ascii="Times New Roman" w:hAnsi="Times New Roman"/>
          <w:sz w:val="24"/>
          <w:szCs w:val="24"/>
        </w:rPr>
        <w:t>make</w:t>
      </w:r>
      <w:r w:rsidR="002E30CE">
        <w:rPr>
          <w:rFonts w:ascii="Times New Roman" w:hAnsi="Times New Roman"/>
          <w:sz w:val="24"/>
          <w:szCs w:val="24"/>
        </w:rPr>
        <w:t>s</w:t>
      </w:r>
      <w:r w:rsidR="002E30CE" w:rsidRPr="00264F3F">
        <w:rPr>
          <w:rFonts w:ascii="Times New Roman" w:hAnsi="Times New Roman"/>
          <w:sz w:val="24"/>
          <w:szCs w:val="24"/>
        </w:rPr>
        <w:t xml:space="preserve"> sustainable development financed from domestic revenue more elusive. </w:t>
      </w:r>
    </w:p>
    <w:p w14:paraId="3AC7078B" w14:textId="77777777" w:rsidR="0005279B" w:rsidRDefault="0005279B" w:rsidP="00264F3F">
      <w:pPr>
        <w:jc w:val="both"/>
        <w:rPr>
          <w:rFonts w:ascii="Times New Roman" w:hAnsi="Times New Roman"/>
          <w:sz w:val="24"/>
          <w:szCs w:val="24"/>
        </w:rPr>
      </w:pPr>
    </w:p>
    <w:p w14:paraId="4F0EB082" w14:textId="4C9FE324" w:rsidR="00A9662A" w:rsidRDefault="006E431E" w:rsidP="00264F3F">
      <w:pPr>
        <w:jc w:val="both"/>
        <w:rPr>
          <w:rFonts w:ascii="Times New Roman" w:hAnsi="Times New Roman"/>
          <w:sz w:val="24"/>
          <w:szCs w:val="24"/>
        </w:rPr>
      </w:pPr>
      <w:r>
        <w:rPr>
          <w:rFonts w:ascii="Times New Roman" w:hAnsi="Times New Roman"/>
          <w:sz w:val="24"/>
          <w:szCs w:val="24"/>
        </w:rPr>
        <w:t>I</w:t>
      </w:r>
      <w:r w:rsidR="00500157">
        <w:rPr>
          <w:rFonts w:ascii="Times New Roman" w:hAnsi="Times New Roman"/>
          <w:sz w:val="24"/>
          <w:szCs w:val="24"/>
        </w:rPr>
        <w:t xml:space="preserve">t is time to </w:t>
      </w:r>
      <w:r w:rsidR="0065674A">
        <w:rPr>
          <w:rFonts w:ascii="Times New Roman" w:hAnsi="Times New Roman"/>
          <w:sz w:val="24"/>
          <w:szCs w:val="24"/>
        </w:rPr>
        <w:t>c</w:t>
      </w:r>
      <w:r w:rsidR="00860B7C">
        <w:rPr>
          <w:rFonts w:ascii="Times New Roman" w:hAnsi="Times New Roman"/>
          <w:sz w:val="24"/>
          <w:szCs w:val="24"/>
        </w:rPr>
        <w:t>eas</w:t>
      </w:r>
      <w:r w:rsidR="00500157">
        <w:rPr>
          <w:rFonts w:ascii="Times New Roman" w:hAnsi="Times New Roman"/>
          <w:sz w:val="24"/>
          <w:szCs w:val="24"/>
        </w:rPr>
        <w:t xml:space="preserve">e directing </w:t>
      </w:r>
      <w:r w:rsidR="00860B7C">
        <w:rPr>
          <w:rFonts w:ascii="Times New Roman" w:hAnsi="Times New Roman"/>
          <w:sz w:val="24"/>
          <w:szCs w:val="24"/>
        </w:rPr>
        <w:t>concessional fi</w:t>
      </w:r>
      <w:r w:rsidR="0065674A">
        <w:rPr>
          <w:rFonts w:ascii="Times New Roman" w:hAnsi="Times New Roman"/>
          <w:sz w:val="24"/>
          <w:szCs w:val="24"/>
        </w:rPr>
        <w:t>nance to “filling gaps”</w:t>
      </w:r>
      <w:r w:rsidR="00B809EA">
        <w:rPr>
          <w:rFonts w:ascii="Times New Roman" w:hAnsi="Times New Roman"/>
          <w:sz w:val="24"/>
          <w:szCs w:val="24"/>
        </w:rPr>
        <w:t xml:space="preserve">. Instead aid </w:t>
      </w:r>
      <w:r w:rsidR="0065674A">
        <w:rPr>
          <w:rFonts w:ascii="Times New Roman" w:hAnsi="Times New Roman"/>
          <w:sz w:val="24"/>
          <w:szCs w:val="24"/>
        </w:rPr>
        <w:t>investments</w:t>
      </w:r>
      <w:r w:rsidR="00B809EA">
        <w:rPr>
          <w:rFonts w:ascii="Times New Roman" w:hAnsi="Times New Roman"/>
          <w:sz w:val="24"/>
          <w:szCs w:val="24"/>
        </w:rPr>
        <w:t xml:space="preserve"> should be directed to increasing</w:t>
      </w:r>
      <w:r w:rsidR="0065674A">
        <w:rPr>
          <w:rFonts w:ascii="Times New Roman" w:hAnsi="Times New Roman"/>
          <w:sz w:val="24"/>
          <w:szCs w:val="24"/>
        </w:rPr>
        <w:t xml:space="preserve"> efficiency and effectiveness </w:t>
      </w:r>
      <w:r>
        <w:rPr>
          <w:rFonts w:ascii="Times New Roman" w:hAnsi="Times New Roman"/>
          <w:sz w:val="24"/>
          <w:szCs w:val="24"/>
        </w:rPr>
        <w:t>at system level.</w:t>
      </w:r>
      <w:r w:rsidR="0065674A">
        <w:rPr>
          <w:rFonts w:ascii="Times New Roman" w:hAnsi="Times New Roman"/>
          <w:sz w:val="24"/>
          <w:szCs w:val="24"/>
        </w:rPr>
        <w:t xml:space="preserve"> The most efficient and effective education systems in the CMSs </w:t>
      </w:r>
      <w:r w:rsidR="00860B7C">
        <w:rPr>
          <w:rFonts w:ascii="Times New Roman" w:hAnsi="Times New Roman"/>
          <w:sz w:val="24"/>
          <w:szCs w:val="24"/>
        </w:rPr>
        <w:t>deliver universal access though to grade 9</w:t>
      </w:r>
      <w:r w:rsidR="00B809EA">
        <w:rPr>
          <w:rFonts w:ascii="Times New Roman" w:hAnsi="Times New Roman"/>
          <w:sz w:val="24"/>
          <w:szCs w:val="24"/>
        </w:rPr>
        <w:t>,</w:t>
      </w:r>
      <w:r w:rsidR="00860B7C">
        <w:rPr>
          <w:rFonts w:ascii="Times New Roman" w:hAnsi="Times New Roman"/>
          <w:sz w:val="24"/>
          <w:szCs w:val="24"/>
        </w:rPr>
        <w:t xml:space="preserve"> and some to grade 12</w:t>
      </w:r>
      <w:r w:rsidR="00B809EA">
        <w:rPr>
          <w:rFonts w:ascii="Times New Roman" w:hAnsi="Times New Roman"/>
          <w:sz w:val="24"/>
          <w:szCs w:val="24"/>
        </w:rPr>
        <w:t>,</w:t>
      </w:r>
      <w:r w:rsidR="00860B7C">
        <w:rPr>
          <w:rFonts w:ascii="Times New Roman" w:hAnsi="Times New Roman"/>
          <w:sz w:val="24"/>
          <w:szCs w:val="24"/>
        </w:rPr>
        <w:t xml:space="preserve"> at levels of financial </w:t>
      </w:r>
      <w:r>
        <w:rPr>
          <w:rFonts w:ascii="Times New Roman" w:hAnsi="Times New Roman"/>
          <w:sz w:val="24"/>
          <w:szCs w:val="24"/>
        </w:rPr>
        <w:t xml:space="preserve">commitment that are </w:t>
      </w:r>
      <w:r w:rsidR="00860B7C">
        <w:rPr>
          <w:rFonts w:ascii="Times New Roman" w:hAnsi="Times New Roman"/>
          <w:sz w:val="24"/>
          <w:szCs w:val="24"/>
        </w:rPr>
        <w:t xml:space="preserve">similar to those where less than half of children complete secondary school. Efficient systems have cost per student at secondary no more than 50% greater than at primary. Inefficient systems have a ratio of cost of more than four to one. Similarly higher education costs per student in </w:t>
      </w:r>
      <w:proofErr w:type="gramStart"/>
      <w:r w:rsidR="00860B7C">
        <w:rPr>
          <w:rFonts w:ascii="Times New Roman" w:hAnsi="Times New Roman"/>
          <w:sz w:val="24"/>
          <w:szCs w:val="24"/>
        </w:rPr>
        <w:t>high income</w:t>
      </w:r>
      <w:proofErr w:type="gramEnd"/>
      <w:r w:rsidR="00860B7C">
        <w:rPr>
          <w:rFonts w:ascii="Times New Roman" w:hAnsi="Times New Roman"/>
          <w:sz w:val="24"/>
          <w:szCs w:val="24"/>
        </w:rPr>
        <w:t xml:space="preserve"> countries CMSs are generally only twice those of primary school places. In low income CMSs costs</w:t>
      </w:r>
      <w:r>
        <w:rPr>
          <w:rFonts w:ascii="Times New Roman" w:hAnsi="Times New Roman"/>
          <w:sz w:val="24"/>
          <w:szCs w:val="24"/>
        </w:rPr>
        <w:t xml:space="preserve"> can be</w:t>
      </w:r>
      <w:r w:rsidR="00B55089">
        <w:rPr>
          <w:rFonts w:ascii="Times New Roman" w:hAnsi="Times New Roman"/>
          <w:sz w:val="24"/>
          <w:szCs w:val="24"/>
        </w:rPr>
        <w:t xml:space="preserve"> more than 15 ti</w:t>
      </w:r>
      <w:r w:rsidR="00AD5DAC">
        <w:rPr>
          <w:rFonts w:ascii="Times New Roman" w:hAnsi="Times New Roman"/>
          <w:sz w:val="24"/>
          <w:szCs w:val="24"/>
        </w:rPr>
        <w:t>mes greater (</w:t>
      </w:r>
      <w:r w:rsidR="00B55089">
        <w:rPr>
          <w:rFonts w:ascii="Times New Roman" w:hAnsi="Times New Roman"/>
          <w:sz w:val="24"/>
          <w:szCs w:val="24"/>
        </w:rPr>
        <w:t>Lewin 2015).</w:t>
      </w:r>
      <w:r w:rsidR="00860B7C">
        <w:rPr>
          <w:rFonts w:ascii="Times New Roman" w:hAnsi="Times New Roman"/>
          <w:sz w:val="24"/>
          <w:szCs w:val="24"/>
        </w:rPr>
        <w:t xml:space="preserve">  </w:t>
      </w:r>
    </w:p>
    <w:p w14:paraId="6C48D247" w14:textId="77777777" w:rsidR="00860B7C" w:rsidRDefault="00860B7C" w:rsidP="00264F3F">
      <w:pPr>
        <w:jc w:val="both"/>
        <w:rPr>
          <w:rFonts w:ascii="Times New Roman" w:hAnsi="Times New Roman"/>
          <w:sz w:val="24"/>
          <w:szCs w:val="24"/>
        </w:rPr>
      </w:pPr>
    </w:p>
    <w:p w14:paraId="66D75716" w14:textId="5C250A08" w:rsidR="00A9662A" w:rsidRDefault="00500157" w:rsidP="00A9662A">
      <w:pPr>
        <w:jc w:val="both"/>
        <w:rPr>
          <w:rFonts w:ascii="Times New Roman" w:hAnsi="Times New Roman"/>
          <w:sz w:val="24"/>
          <w:szCs w:val="24"/>
        </w:rPr>
      </w:pPr>
      <w:r>
        <w:rPr>
          <w:rFonts w:ascii="Times New Roman" w:hAnsi="Times New Roman"/>
          <w:sz w:val="24"/>
          <w:szCs w:val="24"/>
        </w:rPr>
        <w:t>Fiscal reform is</w:t>
      </w:r>
      <w:r w:rsidR="00B809EA">
        <w:rPr>
          <w:rFonts w:ascii="Times New Roman" w:hAnsi="Times New Roman"/>
          <w:sz w:val="24"/>
          <w:szCs w:val="24"/>
        </w:rPr>
        <w:t xml:space="preserve"> therefore </w:t>
      </w:r>
      <w:r w:rsidR="00860B7C">
        <w:rPr>
          <w:rFonts w:ascii="Times New Roman" w:hAnsi="Times New Roman"/>
          <w:sz w:val="24"/>
          <w:szCs w:val="24"/>
        </w:rPr>
        <w:t>a high priority in countries where revenue collection is very low. To deliver quality education around 6% of GDP is needed and as much as 20% of government budgets. To do this implies that revenue collection that finances government has to be 30% of GDP (20% of 30% is 6%). Many LICs and LMICs average half this amount. This is not because they are poor so much as because they do not collect revenue</w:t>
      </w:r>
      <w:r w:rsidR="00EA5659">
        <w:rPr>
          <w:rFonts w:ascii="Times New Roman" w:hAnsi="Times New Roman"/>
          <w:sz w:val="24"/>
          <w:szCs w:val="24"/>
        </w:rPr>
        <w:t>,</w:t>
      </w:r>
      <w:r w:rsidR="00860B7C">
        <w:rPr>
          <w:rFonts w:ascii="Times New Roman" w:hAnsi="Times New Roman"/>
          <w:sz w:val="24"/>
          <w:szCs w:val="24"/>
        </w:rPr>
        <w:t xml:space="preserve"> and </w:t>
      </w:r>
      <w:r w:rsidR="00EA5659">
        <w:rPr>
          <w:rFonts w:ascii="Times New Roman" w:hAnsi="Times New Roman"/>
          <w:sz w:val="24"/>
          <w:szCs w:val="24"/>
        </w:rPr>
        <w:t xml:space="preserve">because </w:t>
      </w:r>
      <w:r w:rsidR="00860B7C">
        <w:rPr>
          <w:rFonts w:ascii="Times New Roman" w:hAnsi="Times New Roman"/>
          <w:sz w:val="24"/>
          <w:szCs w:val="24"/>
        </w:rPr>
        <w:t>avoidance and evasion are commonplace. In poor countries many of the richest citizens pay little or no tax, nor do extractive industries or foreign</w:t>
      </w:r>
      <w:r>
        <w:rPr>
          <w:rFonts w:ascii="Times New Roman" w:hAnsi="Times New Roman"/>
          <w:sz w:val="24"/>
          <w:szCs w:val="24"/>
        </w:rPr>
        <w:t xml:space="preserve"> domiciled multinationals. T</w:t>
      </w:r>
      <w:r w:rsidR="00860B7C">
        <w:rPr>
          <w:rFonts w:ascii="Times New Roman" w:hAnsi="Times New Roman"/>
          <w:sz w:val="24"/>
          <w:szCs w:val="24"/>
        </w:rPr>
        <w:t>here is no sustainable ed</w:t>
      </w:r>
      <w:r w:rsidR="00607BD6">
        <w:rPr>
          <w:rFonts w:ascii="Times New Roman" w:hAnsi="Times New Roman"/>
          <w:sz w:val="24"/>
          <w:szCs w:val="24"/>
        </w:rPr>
        <w:t xml:space="preserve">ucational development without </w:t>
      </w:r>
      <w:r w:rsidR="00860B7C">
        <w:rPr>
          <w:rFonts w:ascii="Times New Roman" w:hAnsi="Times New Roman"/>
          <w:sz w:val="24"/>
          <w:szCs w:val="24"/>
        </w:rPr>
        <w:t>fair and</w:t>
      </w:r>
      <w:r w:rsidR="00607BD6">
        <w:rPr>
          <w:rFonts w:ascii="Times New Roman" w:hAnsi="Times New Roman"/>
          <w:sz w:val="24"/>
          <w:szCs w:val="24"/>
        </w:rPr>
        <w:t xml:space="preserve"> inclusive fiscal reforms that replace the politics of underfunding education and aid with the politics of a social contract between tax paying citizens and governments charged</w:t>
      </w:r>
      <w:r w:rsidR="00B809EA">
        <w:rPr>
          <w:rFonts w:ascii="Times New Roman" w:hAnsi="Times New Roman"/>
          <w:sz w:val="24"/>
          <w:szCs w:val="24"/>
        </w:rPr>
        <w:t xml:space="preserve"> with providing public goods. </w:t>
      </w:r>
      <w:r w:rsidR="00A9662A">
        <w:rPr>
          <w:rFonts w:ascii="Times New Roman" w:hAnsi="Times New Roman"/>
          <w:sz w:val="24"/>
          <w:szCs w:val="24"/>
        </w:rPr>
        <w:t xml:space="preserve">The next generation of aid and South-South cooperation </w:t>
      </w:r>
      <w:r w:rsidR="00EA5659">
        <w:rPr>
          <w:rFonts w:ascii="Times New Roman" w:hAnsi="Times New Roman"/>
          <w:sz w:val="24"/>
          <w:szCs w:val="24"/>
        </w:rPr>
        <w:t xml:space="preserve">in the Commonwealth </w:t>
      </w:r>
      <w:r w:rsidR="00A9662A">
        <w:rPr>
          <w:rFonts w:ascii="Times New Roman" w:hAnsi="Times New Roman"/>
          <w:sz w:val="24"/>
          <w:szCs w:val="24"/>
        </w:rPr>
        <w:t>has the opportunity to share insights and strategies on how to become fiscal states that manage SED into the future. This will not emerge from the SDG architecture</w:t>
      </w:r>
      <w:r w:rsidR="00B809EA">
        <w:rPr>
          <w:rFonts w:ascii="Times New Roman" w:hAnsi="Times New Roman"/>
          <w:sz w:val="24"/>
          <w:szCs w:val="24"/>
        </w:rPr>
        <w:t>. CMSs need to set</w:t>
      </w:r>
      <w:r w:rsidR="00A9662A">
        <w:rPr>
          <w:rFonts w:ascii="Times New Roman" w:hAnsi="Times New Roman"/>
          <w:sz w:val="24"/>
          <w:szCs w:val="24"/>
        </w:rPr>
        <w:t xml:space="preserve"> their own educational goals and targets with a firm commitment to both SED and ESD.          </w:t>
      </w:r>
    </w:p>
    <w:p w14:paraId="6CE16AFB" w14:textId="77777777" w:rsidR="00A9662A" w:rsidRDefault="00A9662A" w:rsidP="005B6320">
      <w:pPr>
        <w:jc w:val="both"/>
        <w:rPr>
          <w:rFonts w:ascii="Times New Roman" w:hAnsi="Times New Roman"/>
          <w:sz w:val="24"/>
          <w:szCs w:val="24"/>
        </w:rPr>
      </w:pPr>
    </w:p>
    <w:p w14:paraId="02879CEE" w14:textId="7E358191" w:rsidR="00500157" w:rsidRDefault="00A9662A" w:rsidP="00500157">
      <w:pPr>
        <w:jc w:val="both"/>
        <w:rPr>
          <w:rFonts w:ascii="Times New Roman" w:hAnsi="Times New Roman"/>
          <w:sz w:val="24"/>
          <w:szCs w:val="24"/>
        </w:rPr>
      </w:pPr>
      <w:r>
        <w:rPr>
          <w:rFonts w:ascii="Times New Roman" w:hAnsi="Times New Roman"/>
          <w:sz w:val="24"/>
          <w:szCs w:val="24"/>
        </w:rPr>
        <w:t xml:space="preserve">Education for Sustainable Development </w:t>
      </w:r>
      <w:r w:rsidR="007B48BF">
        <w:rPr>
          <w:rFonts w:ascii="Times New Roman" w:hAnsi="Times New Roman"/>
          <w:sz w:val="24"/>
          <w:szCs w:val="24"/>
        </w:rPr>
        <w:t xml:space="preserve">(ESD) </w:t>
      </w:r>
      <w:r>
        <w:rPr>
          <w:rFonts w:ascii="Times New Roman" w:hAnsi="Times New Roman"/>
          <w:sz w:val="24"/>
          <w:szCs w:val="24"/>
        </w:rPr>
        <w:t xml:space="preserve">needs consensus on </w:t>
      </w:r>
      <w:r w:rsidR="00B809EA">
        <w:rPr>
          <w:rFonts w:ascii="Times New Roman" w:hAnsi="Times New Roman"/>
          <w:sz w:val="24"/>
          <w:szCs w:val="24"/>
        </w:rPr>
        <w:t>its meaning</w:t>
      </w:r>
      <w:r>
        <w:rPr>
          <w:rFonts w:ascii="Times New Roman" w:hAnsi="Times New Roman"/>
          <w:sz w:val="24"/>
          <w:szCs w:val="24"/>
        </w:rPr>
        <w:t xml:space="preserve">. </w:t>
      </w:r>
      <w:r w:rsidR="00500157" w:rsidRPr="00264F3F">
        <w:rPr>
          <w:rFonts w:ascii="Times New Roman" w:hAnsi="Times New Roman"/>
          <w:sz w:val="24"/>
          <w:szCs w:val="24"/>
        </w:rPr>
        <w:t>The most commonly used definition for sus</w:t>
      </w:r>
      <w:r w:rsidR="00500157">
        <w:rPr>
          <w:rFonts w:ascii="Times New Roman" w:hAnsi="Times New Roman"/>
          <w:sz w:val="24"/>
          <w:szCs w:val="24"/>
        </w:rPr>
        <w:t xml:space="preserve">tainable development is in the 1987 </w:t>
      </w:r>
      <w:proofErr w:type="spellStart"/>
      <w:r w:rsidR="00500157">
        <w:rPr>
          <w:rFonts w:ascii="Times New Roman" w:hAnsi="Times New Roman"/>
          <w:sz w:val="24"/>
          <w:szCs w:val="24"/>
        </w:rPr>
        <w:t>Brundtland</w:t>
      </w:r>
      <w:proofErr w:type="spellEnd"/>
      <w:r w:rsidR="00500157">
        <w:rPr>
          <w:rFonts w:ascii="Times New Roman" w:hAnsi="Times New Roman"/>
          <w:sz w:val="24"/>
          <w:szCs w:val="24"/>
        </w:rPr>
        <w:t xml:space="preserve"> Report. This argues that </w:t>
      </w:r>
      <w:r w:rsidR="00500157" w:rsidRPr="00264F3F">
        <w:rPr>
          <w:rFonts w:ascii="Times New Roman" w:hAnsi="Times New Roman"/>
          <w:sz w:val="24"/>
          <w:szCs w:val="24"/>
        </w:rPr>
        <w:t xml:space="preserve">sustainable </w:t>
      </w:r>
      <w:r w:rsidR="00500157">
        <w:rPr>
          <w:rFonts w:ascii="Times New Roman" w:hAnsi="Times New Roman"/>
          <w:sz w:val="24"/>
          <w:szCs w:val="24"/>
        </w:rPr>
        <w:t xml:space="preserve">development </w:t>
      </w:r>
      <w:r w:rsidR="00B809EA">
        <w:rPr>
          <w:rFonts w:ascii="Times New Roman" w:hAnsi="Times New Roman"/>
          <w:sz w:val="24"/>
          <w:szCs w:val="24"/>
        </w:rPr>
        <w:t>“</w:t>
      </w:r>
      <w:r w:rsidR="00500157" w:rsidRPr="00264F3F">
        <w:rPr>
          <w:rFonts w:ascii="Times New Roman" w:hAnsi="Times New Roman"/>
          <w:sz w:val="24"/>
          <w:szCs w:val="24"/>
        </w:rPr>
        <w:t>meets the needs of the present without compromising the ability of future generations to meet their own needs</w:t>
      </w:r>
      <w:r w:rsidR="00B809EA">
        <w:rPr>
          <w:rFonts w:ascii="Times New Roman" w:hAnsi="Times New Roman"/>
          <w:sz w:val="24"/>
          <w:szCs w:val="24"/>
        </w:rPr>
        <w:t>”</w:t>
      </w:r>
      <w:r w:rsidR="00500157" w:rsidRPr="00264F3F">
        <w:rPr>
          <w:rFonts w:ascii="Times New Roman" w:hAnsi="Times New Roman"/>
          <w:sz w:val="24"/>
          <w:szCs w:val="24"/>
        </w:rPr>
        <w:t xml:space="preserve">. This valuing of the future over the present is essential to environmental protection and the ability of humanity to manage its planetary burden so that it does not irreversibly deplete geological, agricultural, maritime and atmospheric resources. This requires fundamental shifts in patterns of consumption, and a new economics of production, pollution and recycling. It needs an understanding that sustainable solutions require global consensus and cooperation. </w:t>
      </w:r>
    </w:p>
    <w:p w14:paraId="248A69F8" w14:textId="77777777" w:rsidR="00A9662A" w:rsidRDefault="00A9662A" w:rsidP="00264F3F">
      <w:pPr>
        <w:jc w:val="both"/>
        <w:rPr>
          <w:rFonts w:ascii="Times New Roman" w:hAnsi="Times New Roman"/>
          <w:sz w:val="24"/>
          <w:szCs w:val="24"/>
        </w:rPr>
      </w:pPr>
    </w:p>
    <w:p w14:paraId="632442EE" w14:textId="77777777" w:rsidR="004F0081" w:rsidRDefault="005B6320" w:rsidP="005B6320">
      <w:pPr>
        <w:jc w:val="both"/>
        <w:rPr>
          <w:rFonts w:ascii="Times New Roman" w:hAnsi="Times New Roman"/>
          <w:sz w:val="24"/>
          <w:szCs w:val="24"/>
        </w:rPr>
      </w:pPr>
      <w:r>
        <w:rPr>
          <w:rFonts w:ascii="Times New Roman" w:hAnsi="Times New Roman"/>
          <w:sz w:val="24"/>
          <w:szCs w:val="24"/>
        </w:rPr>
        <w:t>E</w:t>
      </w:r>
      <w:r w:rsidR="007B48BF">
        <w:rPr>
          <w:rFonts w:ascii="Times New Roman" w:hAnsi="Times New Roman"/>
          <w:sz w:val="24"/>
          <w:szCs w:val="24"/>
        </w:rPr>
        <w:t xml:space="preserve">SD </w:t>
      </w:r>
      <w:r>
        <w:rPr>
          <w:rFonts w:ascii="Times New Roman" w:hAnsi="Times New Roman"/>
          <w:sz w:val="24"/>
          <w:szCs w:val="24"/>
        </w:rPr>
        <w:t xml:space="preserve">is more than anything else a curriculum challenge and </w:t>
      </w:r>
      <w:r w:rsidRPr="005B6320">
        <w:rPr>
          <w:rFonts w:ascii="Times New Roman" w:hAnsi="Times New Roman"/>
          <w:sz w:val="24"/>
          <w:szCs w:val="24"/>
        </w:rPr>
        <w:t>requires curriculum development</w:t>
      </w:r>
      <w:r w:rsidR="00A9662A">
        <w:rPr>
          <w:rFonts w:ascii="Times New Roman" w:hAnsi="Times New Roman"/>
          <w:sz w:val="24"/>
          <w:szCs w:val="24"/>
        </w:rPr>
        <w:t xml:space="preserve"> to ensure environmentally </w:t>
      </w:r>
      <w:r w:rsidRPr="005B6320">
        <w:rPr>
          <w:rFonts w:ascii="Times New Roman" w:hAnsi="Times New Roman"/>
          <w:sz w:val="24"/>
          <w:szCs w:val="24"/>
        </w:rPr>
        <w:t xml:space="preserve">informed citizenry, encourage changes in consumption preferences, promote social cohesion and manage learning effectively. Curriculum reform especially at secondary level </w:t>
      </w:r>
      <w:r w:rsidR="00A9662A">
        <w:rPr>
          <w:rFonts w:ascii="Times New Roman" w:hAnsi="Times New Roman"/>
          <w:sz w:val="24"/>
          <w:szCs w:val="24"/>
        </w:rPr>
        <w:t>has been widely neglected and more</w:t>
      </w:r>
      <w:r w:rsidR="00AD743C">
        <w:rPr>
          <w:rFonts w:ascii="Times New Roman" w:hAnsi="Times New Roman"/>
          <w:sz w:val="24"/>
          <w:szCs w:val="24"/>
        </w:rPr>
        <w:t xml:space="preserve"> frequently driven by</w:t>
      </w:r>
      <w:r w:rsidRPr="005B6320">
        <w:rPr>
          <w:rFonts w:ascii="Times New Roman" w:hAnsi="Times New Roman"/>
          <w:sz w:val="24"/>
          <w:szCs w:val="24"/>
        </w:rPr>
        <w:t xml:space="preserve"> the exigencies of high stakes assessment than by needs to allow all citizens to understand the vulnerabilities of the planet and the risk to well being from air pollution, water cont</w:t>
      </w:r>
      <w:r w:rsidR="00AD743C">
        <w:rPr>
          <w:rFonts w:ascii="Times New Roman" w:hAnsi="Times New Roman"/>
          <w:sz w:val="24"/>
          <w:szCs w:val="24"/>
        </w:rPr>
        <w:t>amination, solid waste disposal and greenhouse gases</w:t>
      </w:r>
      <w:r w:rsidRPr="005B6320">
        <w:rPr>
          <w:rFonts w:ascii="Times New Roman" w:hAnsi="Times New Roman"/>
          <w:sz w:val="24"/>
          <w:szCs w:val="24"/>
        </w:rPr>
        <w:t>. Curricula must lead learning assessments not follow from the demands of high stakes testing. Effective formative assessment that leads to better management of learning will have more</w:t>
      </w:r>
      <w:r w:rsidR="00AD5DAC">
        <w:rPr>
          <w:rFonts w:ascii="Times New Roman" w:hAnsi="Times New Roman"/>
          <w:sz w:val="24"/>
          <w:szCs w:val="24"/>
        </w:rPr>
        <w:t xml:space="preserve"> impact on achievement than massive</w:t>
      </w:r>
      <w:r w:rsidRPr="005B6320">
        <w:rPr>
          <w:rFonts w:ascii="Times New Roman" w:hAnsi="Times New Roman"/>
          <w:sz w:val="24"/>
          <w:szCs w:val="24"/>
        </w:rPr>
        <w:t xml:space="preserve"> investment in international assessments. </w:t>
      </w:r>
    </w:p>
    <w:p w14:paraId="09BE7EEF" w14:textId="77777777" w:rsidR="004F0081" w:rsidRDefault="004F0081" w:rsidP="005B6320">
      <w:pPr>
        <w:jc w:val="both"/>
        <w:rPr>
          <w:rFonts w:ascii="Times New Roman" w:hAnsi="Times New Roman"/>
          <w:sz w:val="24"/>
          <w:szCs w:val="24"/>
        </w:rPr>
      </w:pPr>
    </w:p>
    <w:p w14:paraId="2BCC809C" w14:textId="795D7ADC" w:rsidR="0005279B" w:rsidRDefault="004F0081" w:rsidP="00264F3F">
      <w:pPr>
        <w:jc w:val="both"/>
        <w:rPr>
          <w:rFonts w:ascii="Times New Roman" w:hAnsi="Times New Roman"/>
          <w:sz w:val="24"/>
          <w:szCs w:val="24"/>
        </w:rPr>
      </w:pPr>
      <w:r>
        <w:rPr>
          <w:rFonts w:ascii="Times New Roman" w:hAnsi="Times New Roman"/>
          <w:sz w:val="24"/>
          <w:szCs w:val="24"/>
        </w:rPr>
        <w:t>I</w:t>
      </w:r>
      <w:r w:rsidR="005B6320" w:rsidRPr="005B6320">
        <w:rPr>
          <w:rFonts w:ascii="Times New Roman" w:hAnsi="Times New Roman"/>
          <w:sz w:val="24"/>
          <w:szCs w:val="24"/>
        </w:rPr>
        <w:t xml:space="preserve">f there is a learning crisis the solution lies in the curriculum. A resilient curriculum is one that is managed so that learning is cumulative, children always have teachers, and learners are never left behind. </w:t>
      </w:r>
      <w:r w:rsidR="00A9662A">
        <w:rPr>
          <w:rFonts w:ascii="Times New Roman" w:hAnsi="Times New Roman"/>
          <w:sz w:val="24"/>
          <w:szCs w:val="24"/>
        </w:rPr>
        <w:t>C</w:t>
      </w:r>
      <w:r w:rsidR="00B809EA">
        <w:rPr>
          <w:rFonts w:ascii="Times New Roman" w:hAnsi="Times New Roman"/>
          <w:sz w:val="24"/>
          <w:szCs w:val="24"/>
        </w:rPr>
        <w:t>ommonwealth count</w:t>
      </w:r>
      <w:r>
        <w:rPr>
          <w:rFonts w:ascii="Times New Roman" w:hAnsi="Times New Roman"/>
          <w:sz w:val="24"/>
          <w:szCs w:val="24"/>
        </w:rPr>
        <w:t>r</w:t>
      </w:r>
      <w:r w:rsidR="00B809EA">
        <w:rPr>
          <w:rFonts w:ascii="Times New Roman" w:hAnsi="Times New Roman"/>
          <w:sz w:val="24"/>
          <w:szCs w:val="24"/>
        </w:rPr>
        <w:t xml:space="preserve">ies </w:t>
      </w:r>
      <w:r w:rsidR="00A9662A">
        <w:rPr>
          <w:rFonts w:ascii="Times New Roman" w:hAnsi="Times New Roman"/>
          <w:sz w:val="24"/>
          <w:szCs w:val="24"/>
        </w:rPr>
        <w:t>share curriculum challenges for ESD. They also share language, curricula and pedagogic traditions, and have commonalities in assessment systems. They are well placed to collaborate on ESD and take advantage of the synergies that can exist</w:t>
      </w:r>
      <w:r w:rsidR="001344C9">
        <w:rPr>
          <w:rFonts w:ascii="Times New Roman" w:hAnsi="Times New Roman"/>
          <w:sz w:val="24"/>
          <w:szCs w:val="24"/>
        </w:rPr>
        <w:t xml:space="preserve"> </w:t>
      </w:r>
      <w:r w:rsidR="00AD743C">
        <w:rPr>
          <w:rFonts w:ascii="Times New Roman" w:hAnsi="Times New Roman"/>
          <w:sz w:val="24"/>
          <w:szCs w:val="24"/>
        </w:rPr>
        <w:t>across cognate clusters of CMS</w:t>
      </w:r>
      <w:r w:rsidR="00A9662A">
        <w:rPr>
          <w:rFonts w:ascii="Times New Roman" w:hAnsi="Times New Roman"/>
          <w:sz w:val="24"/>
          <w:szCs w:val="24"/>
        </w:rPr>
        <w:t xml:space="preserve">.    </w:t>
      </w:r>
      <w:r w:rsidR="0005279B">
        <w:rPr>
          <w:rFonts w:ascii="Times New Roman" w:hAnsi="Times New Roman"/>
          <w:sz w:val="24"/>
          <w:szCs w:val="24"/>
        </w:rPr>
        <w:t xml:space="preserve"> </w:t>
      </w:r>
    </w:p>
    <w:p w14:paraId="5F6EA348" w14:textId="77777777" w:rsidR="0005279B" w:rsidRDefault="0005279B" w:rsidP="00264F3F">
      <w:pPr>
        <w:jc w:val="both"/>
        <w:rPr>
          <w:rFonts w:ascii="Times New Roman" w:hAnsi="Times New Roman"/>
          <w:sz w:val="24"/>
          <w:szCs w:val="24"/>
        </w:rPr>
      </w:pPr>
    </w:p>
    <w:p w14:paraId="06B25BAB" w14:textId="238B207A" w:rsidR="0005279B" w:rsidRDefault="0005279B" w:rsidP="00264F3F">
      <w:pPr>
        <w:jc w:val="both"/>
        <w:rPr>
          <w:rFonts w:ascii="Times New Roman" w:hAnsi="Times New Roman"/>
          <w:sz w:val="24"/>
          <w:szCs w:val="24"/>
        </w:rPr>
      </w:pPr>
      <w:r>
        <w:rPr>
          <w:rFonts w:ascii="Times New Roman" w:hAnsi="Times New Roman"/>
          <w:sz w:val="24"/>
          <w:szCs w:val="24"/>
        </w:rPr>
        <w:t>The 20</w:t>
      </w:r>
      <w:r w:rsidRPr="0005279B">
        <w:rPr>
          <w:rFonts w:ascii="Times New Roman" w:hAnsi="Times New Roman"/>
          <w:sz w:val="24"/>
          <w:szCs w:val="24"/>
          <w:vertAlign w:val="superscript"/>
        </w:rPr>
        <w:t>th</w:t>
      </w:r>
      <w:r>
        <w:rPr>
          <w:rFonts w:ascii="Times New Roman" w:hAnsi="Times New Roman"/>
          <w:sz w:val="24"/>
          <w:szCs w:val="24"/>
        </w:rPr>
        <w:t xml:space="preserve"> CCEM Issues Paper (CCEM20 2018) </w:t>
      </w:r>
      <w:r w:rsidR="00363A26">
        <w:rPr>
          <w:rFonts w:ascii="Times New Roman" w:hAnsi="Times New Roman"/>
          <w:sz w:val="24"/>
          <w:szCs w:val="24"/>
        </w:rPr>
        <w:t>highlighted the importance of resilience in the next phase of educational development. Central to resilience is diversity</w:t>
      </w:r>
      <w:r w:rsidR="001344C9">
        <w:rPr>
          <w:rFonts w:ascii="Times New Roman" w:hAnsi="Times New Roman"/>
          <w:sz w:val="24"/>
          <w:szCs w:val="24"/>
        </w:rPr>
        <w:t>,</w:t>
      </w:r>
      <w:r w:rsidR="00363A26">
        <w:rPr>
          <w:rFonts w:ascii="Times New Roman" w:hAnsi="Times New Roman"/>
          <w:sz w:val="24"/>
          <w:szCs w:val="24"/>
        </w:rPr>
        <w:t xml:space="preserve"> as any mono-cropping farmer is likely to know. </w:t>
      </w:r>
      <w:r w:rsidR="00607BD6">
        <w:rPr>
          <w:rFonts w:ascii="Times New Roman" w:hAnsi="Times New Roman"/>
          <w:sz w:val="24"/>
          <w:szCs w:val="24"/>
        </w:rPr>
        <w:t xml:space="preserve">If the CMSs are to own the new architecture of education and development framed by SDG 4 then a fundamental change is needed in how national and global goals and targets are generated. </w:t>
      </w:r>
      <w:r w:rsidR="00363A26">
        <w:rPr>
          <w:rFonts w:ascii="Times New Roman" w:hAnsi="Times New Roman"/>
          <w:sz w:val="24"/>
          <w:szCs w:val="24"/>
        </w:rPr>
        <w:t xml:space="preserve">Ownership of the SDGs means ownership of the targets and indicators as well as the Goals. </w:t>
      </w:r>
      <w:r w:rsidR="00607BD6">
        <w:rPr>
          <w:rFonts w:ascii="Times New Roman" w:hAnsi="Times New Roman"/>
          <w:sz w:val="24"/>
          <w:szCs w:val="24"/>
        </w:rPr>
        <w:t xml:space="preserve">The distance between target setters (who rarely have </w:t>
      </w:r>
      <w:proofErr w:type="gramStart"/>
      <w:r w:rsidR="00607BD6">
        <w:rPr>
          <w:rFonts w:ascii="Times New Roman" w:hAnsi="Times New Roman"/>
          <w:sz w:val="24"/>
          <w:szCs w:val="24"/>
        </w:rPr>
        <w:t>long term</w:t>
      </w:r>
      <w:proofErr w:type="gramEnd"/>
      <w:r w:rsidR="00607BD6">
        <w:rPr>
          <w:rFonts w:ascii="Times New Roman" w:hAnsi="Times New Roman"/>
          <w:sz w:val="24"/>
          <w:szCs w:val="24"/>
        </w:rPr>
        <w:t xml:space="preserve"> responsibilities for meeting targets, and target getters (who rarely are invited into global consultations in a meaningful way, must be reduced. It is time to call the bluff that globalised goals need to be translated</w:t>
      </w:r>
      <w:r>
        <w:rPr>
          <w:rFonts w:ascii="Times New Roman" w:hAnsi="Times New Roman"/>
          <w:sz w:val="24"/>
          <w:szCs w:val="24"/>
        </w:rPr>
        <w:t xml:space="preserve"> into targets and indicators at ever</w:t>
      </w:r>
      <w:r w:rsidR="00607BD6">
        <w:rPr>
          <w:rFonts w:ascii="Times New Roman" w:hAnsi="Times New Roman"/>
          <w:sz w:val="24"/>
          <w:szCs w:val="24"/>
        </w:rPr>
        <w:t xml:space="preserve"> increasing levels of detail</w:t>
      </w:r>
      <w:r>
        <w:rPr>
          <w:rFonts w:ascii="Times New Roman" w:hAnsi="Times New Roman"/>
          <w:sz w:val="24"/>
          <w:szCs w:val="24"/>
        </w:rPr>
        <w:t xml:space="preserve"> and smaller units of analysis</w:t>
      </w:r>
      <w:r w:rsidR="00607BD6">
        <w:rPr>
          <w:rFonts w:ascii="Times New Roman" w:hAnsi="Times New Roman"/>
          <w:sz w:val="24"/>
          <w:szCs w:val="24"/>
        </w:rPr>
        <w:t xml:space="preserve">. </w:t>
      </w:r>
    </w:p>
    <w:p w14:paraId="719255F9" w14:textId="77777777" w:rsidR="007E70E9" w:rsidRDefault="007E70E9" w:rsidP="007E70E9">
      <w:pPr>
        <w:jc w:val="both"/>
        <w:rPr>
          <w:rFonts w:ascii="Times New Roman" w:hAnsi="Times New Roman"/>
          <w:sz w:val="24"/>
          <w:szCs w:val="24"/>
        </w:rPr>
      </w:pPr>
    </w:p>
    <w:p w14:paraId="7B3D64B9" w14:textId="77777777" w:rsidR="00D93974" w:rsidRDefault="00AD743C" w:rsidP="007E70E9">
      <w:pPr>
        <w:jc w:val="both"/>
        <w:rPr>
          <w:rFonts w:ascii="Times New Roman" w:hAnsi="Times New Roman"/>
          <w:sz w:val="24"/>
          <w:szCs w:val="24"/>
        </w:rPr>
      </w:pPr>
      <w:proofErr w:type="gramStart"/>
      <w:r>
        <w:rPr>
          <w:rFonts w:ascii="Times New Roman" w:hAnsi="Times New Roman"/>
          <w:sz w:val="24"/>
          <w:szCs w:val="24"/>
        </w:rPr>
        <w:t>SDG4 is being monitored by the UN system and by the Global Education Monitoring Report</w:t>
      </w:r>
      <w:proofErr w:type="gramEnd"/>
      <w:r>
        <w:rPr>
          <w:rFonts w:ascii="Times New Roman" w:hAnsi="Times New Roman"/>
          <w:sz w:val="24"/>
          <w:szCs w:val="24"/>
        </w:rPr>
        <w:t xml:space="preserve">. After five years </w:t>
      </w:r>
      <w:r w:rsidR="00D93974">
        <w:rPr>
          <w:rFonts w:ascii="Times New Roman" w:hAnsi="Times New Roman"/>
          <w:sz w:val="24"/>
          <w:szCs w:val="24"/>
        </w:rPr>
        <w:t xml:space="preserve">in 2020 the Commonwealth </w:t>
      </w:r>
      <w:r w:rsidR="00115517">
        <w:rPr>
          <w:rFonts w:ascii="Times New Roman" w:hAnsi="Times New Roman"/>
          <w:sz w:val="24"/>
          <w:szCs w:val="24"/>
        </w:rPr>
        <w:t xml:space="preserve">should do </w:t>
      </w:r>
      <w:r w:rsidR="00D93974">
        <w:rPr>
          <w:rFonts w:ascii="Times New Roman" w:hAnsi="Times New Roman"/>
          <w:sz w:val="24"/>
          <w:szCs w:val="24"/>
        </w:rPr>
        <w:t xml:space="preserve">its own review </w:t>
      </w:r>
      <w:r w:rsidR="00115517">
        <w:rPr>
          <w:rFonts w:ascii="Times New Roman" w:hAnsi="Times New Roman"/>
          <w:sz w:val="24"/>
          <w:szCs w:val="24"/>
        </w:rPr>
        <w:t xml:space="preserve">independently on its own account. If it does it </w:t>
      </w:r>
      <w:r w:rsidR="007E70E9">
        <w:rPr>
          <w:rFonts w:ascii="Times New Roman" w:hAnsi="Times New Roman"/>
          <w:sz w:val="24"/>
          <w:szCs w:val="24"/>
        </w:rPr>
        <w:t xml:space="preserve">might </w:t>
      </w:r>
      <w:r>
        <w:rPr>
          <w:rFonts w:ascii="Times New Roman" w:hAnsi="Times New Roman"/>
          <w:sz w:val="24"/>
          <w:szCs w:val="24"/>
        </w:rPr>
        <w:t xml:space="preserve">well </w:t>
      </w:r>
      <w:r w:rsidR="007E70E9">
        <w:rPr>
          <w:rFonts w:ascii="Times New Roman" w:hAnsi="Times New Roman"/>
          <w:sz w:val="24"/>
          <w:szCs w:val="24"/>
        </w:rPr>
        <w:t>conclude that some of the SDG</w:t>
      </w:r>
      <w:r>
        <w:rPr>
          <w:rFonts w:ascii="Times New Roman" w:hAnsi="Times New Roman"/>
          <w:sz w:val="24"/>
          <w:szCs w:val="24"/>
        </w:rPr>
        <w:t>4</w:t>
      </w:r>
      <w:r w:rsidR="007E70E9">
        <w:rPr>
          <w:rFonts w:ascii="Times New Roman" w:hAnsi="Times New Roman"/>
          <w:sz w:val="24"/>
          <w:szCs w:val="24"/>
        </w:rPr>
        <w:t xml:space="preserve"> targets were not fit for purpose and did no</w:t>
      </w:r>
      <w:r>
        <w:rPr>
          <w:rFonts w:ascii="Times New Roman" w:hAnsi="Times New Roman"/>
          <w:sz w:val="24"/>
          <w:szCs w:val="24"/>
        </w:rPr>
        <w:t xml:space="preserve">t match country circumstances. </w:t>
      </w:r>
      <w:r w:rsidR="007E70E9">
        <w:rPr>
          <w:rFonts w:ascii="Times New Roman" w:hAnsi="Times New Roman"/>
          <w:sz w:val="24"/>
          <w:szCs w:val="24"/>
        </w:rPr>
        <w:t xml:space="preserve">CMSs might also ask, given that the SDG is a list not a strategy, what was missed from the list? Is there another better list that is a better fit for purpose? What is not included in SDG 4 (e.g. a serious engagement with the development of both sustainable educational development and education for sustainable development) </w:t>
      </w:r>
      <w:r w:rsidR="00C67770">
        <w:rPr>
          <w:rFonts w:ascii="Times New Roman" w:hAnsi="Times New Roman"/>
          <w:sz w:val="24"/>
          <w:szCs w:val="24"/>
        </w:rPr>
        <w:t>and what sh</w:t>
      </w:r>
      <w:r w:rsidR="007E70E9">
        <w:rPr>
          <w:rFonts w:ascii="Times New Roman" w:hAnsi="Times New Roman"/>
          <w:sz w:val="24"/>
          <w:szCs w:val="24"/>
        </w:rPr>
        <w:t xml:space="preserve">ould be included in country level goals, targets and indicators validated by governments legitimated by their citizens rather than </w:t>
      </w:r>
      <w:r w:rsidR="001344C9">
        <w:rPr>
          <w:rFonts w:ascii="Times New Roman" w:hAnsi="Times New Roman"/>
          <w:sz w:val="24"/>
          <w:szCs w:val="24"/>
        </w:rPr>
        <w:t xml:space="preserve">distant </w:t>
      </w:r>
      <w:r w:rsidR="007E70E9">
        <w:rPr>
          <w:rFonts w:ascii="Times New Roman" w:hAnsi="Times New Roman"/>
          <w:sz w:val="24"/>
          <w:szCs w:val="24"/>
        </w:rPr>
        <w:t xml:space="preserve">supra-national </w:t>
      </w:r>
      <w:proofErr w:type="gramStart"/>
      <w:r w:rsidR="007E70E9">
        <w:rPr>
          <w:rFonts w:ascii="Times New Roman" w:hAnsi="Times New Roman"/>
          <w:sz w:val="24"/>
          <w:szCs w:val="24"/>
        </w:rPr>
        <w:t>bodies.</w:t>
      </w:r>
      <w:proofErr w:type="gramEnd"/>
      <w:r w:rsidR="00C67770">
        <w:rPr>
          <w:rFonts w:ascii="Times New Roman" w:hAnsi="Times New Roman"/>
          <w:sz w:val="24"/>
          <w:szCs w:val="24"/>
        </w:rPr>
        <w:t xml:space="preserve"> The r</w:t>
      </w:r>
      <w:r w:rsidR="00AD5DAC">
        <w:rPr>
          <w:rFonts w:ascii="Times New Roman" w:hAnsi="Times New Roman"/>
          <w:sz w:val="24"/>
          <w:szCs w:val="24"/>
        </w:rPr>
        <w:t>ecent UN Global Assessment (UN</w:t>
      </w:r>
      <w:r w:rsidR="00C67770">
        <w:rPr>
          <w:rFonts w:ascii="Times New Roman" w:hAnsi="Times New Roman"/>
          <w:sz w:val="24"/>
          <w:szCs w:val="24"/>
        </w:rPr>
        <w:t xml:space="preserve"> 2019) </w:t>
      </w:r>
      <w:r w:rsidR="00942C06">
        <w:rPr>
          <w:rFonts w:ascii="Times New Roman" w:hAnsi="Times New Roman"/>
          <w:sz w:val="24"/>
          <w:szCs w:val="24"/>
        </w:rPr>
        <w:t xml:space="preserve">emphasise how the impact of humanity on the plant is now approaching a critical and irreversible phase. </w:t>
      </w:r>
    </w:p>
    <w:p w14:paraId="3542F407" w14:textId="77777777" w:rsidR="00D93974" w:rsidRDefault="00D93974" w:rsidP="007E70E9">
      <w:pPr>
        <w:jc w:val="both"/>
        <w:rPr>
          <w:rFonts w:ascii="Times New Roman" w:hAnsi="Times New Roman"/>
          <w:sz w:val="24"/>
          <w:szCs w:val="24"/>
        </w:rPr>
      </w:pPr>
    </w:p>
    <w:p w14:paraId="15F912F1" w14:textId="669239AD" w:rsidR="007E70E9" w:rsidRDefault="00942C06" w:rsidP="007E70E9">
      <w:pPr>
        <w:jc w:val="both"/>
        <w:rPr>
          <w:rFonts w:ascii="Times New Roman" w:hAnsi="Times New Roman"/>
          <w:sz w:val="24"/>
          <w:szCs w:val="24"/>
        </w:rPr>
      </w:pPr>
      <w:r>
        <w:rPr>
          <w:rFonts w:ascii="Times New Roman" w:hAnsi="Times New Roman"/>
          <w:sz w:val="24"/>
          <w:szCs w:val="24"/>
        </w:rPr>
        <w:t xml:space="preserve">It is time </w:t>
      </w:r>
      <w:r w:rsidR="00D93974">
        <w:rPr>
          <w:rFonts w:ascii="Times New Roman" w:hAnsi="Times New Roman"/>
          <w:sz w:val="24"/>
          <w:szCs w:val="24"/>
        </w:rPr>
        <w:t>for Commonwealth countries to act and transcend SDG4</w:t>
      </w:r>
      <w:r>
        <w:rPr>
          <w:rFonts w:ascii="Times New Roman" w:hAnsi="Times New Roman"/>
          <w:sz w:val="24"/>
          <w:szCs w:val="24"/>
        </w:rPr>
        <w:t xml:space="preserve">. </w:t>
      </w:r>
      <w:r w:rsidR="007E70E9">
        <w:rPr>
          <w:rFonts w:ascii="Times New Roman" w:hAnsi="Times New Roman"/>
          <w:sz w:val="24"/>
          <w:szCs w:val="24"/>
        </w:rPr>
        <w:t>This process can co-exist with engage</w:t>
      </w:r>
      <w:r>
        <w:rPr>
          <w:rFonts w:ascii="Times New Roman" w:hAnsi="Times New Roman"/>
          <w:sz w:val="24"/>
          <w:szCs w:val="24"/>
        </w:rPr>
        <w:t>ment with SDG</w:t>
      </w:r>
      <w:r w:rsidR="007E70E9">
        <w:rPr>
          <w:rFonts w:ascii="Times New Roman" w:hAnsi="Times New Roman"/>
          <w:sz w:val="24"/>
          <w:szCs w:val="24"/>
        </w:rPr>
        <w:t xml:space="preserve">4 </w:t>
      </w:r>
      <w:r>
        <w:rPr>
          <w:rFonts w:ascii="Times New Roman" w:hAnsi="Times New Roman"/>
          <w:sz w:val="24"/>
          <w:szCs w:val="24"/>
        </w:rPr>
        <w:t xml:space="preserve">up </w:t>
      </w:r>
      <w:r w:rsidR="007E70E9">
        <w:rPr>
          <w:rFonts w:ascii="Times New Roman" w:hAnsi="Times New Roman"/>
          <w:sz w:val="24"/>
          <w:szCs w:val="24"/>
        </w:rPr>
        <w:t>to the point where choices can be made as to which development agenda best suits national and international aspirations for sustainable development. It may be time to reboot</w:t>
      </w:r>
      <w:r w:rsidR="00295D9B">
        <w:rPr>
          <w:rFonts w:ascii="Times New Roman" w:hAnsi="Times New Roman"/>
          <w:sz w:val="24"/>
          <w:szCs w:val="24"/>
        </w:rPr>
        <w:t xml:space="preserve"> the SDGs from the bottom up. </w:t>
      </w:r>
      <w:proofErr w:type="gramStart"/>
      <w:r w:rsidR="00295D9B">
        <w:rPr>
          <w:rFonts w:ascii="Times New Roman" w:hAnsi="Times New Roman"/>
          <w:sz w:val="24"/>
          <w:szCs w:val="24"/>
        </w:rPr>
        <w:t xml:space="preserve">CMSs </w:t>
      </w:r>
      <w:r w:rsidR="007E70E9">
        <w:rPr>
          <w:rFonts w:ascii="Times New Roman" w:hAnsi="Times New Roman"/>
          <w:sz w:val="24"/>
          <w:szCs w:val="24"/>
        </w:rPr>
        <w:t xml:space="preserve"> could</w:t>
      </w:r>
      <w:proofErr w:type="gramEnd"/>
      <w:r w:rsidR="007E70E9">
        <w:rPr>
          <w:rFonts w:ascii="Times New Roman" w:hAnsi="Times New Roman"/>
          <w:sz w:val="24"/>
          <w:szCs w:val="24"/>
        </w:rPr>
        <w:t xml:space="preserve"> take on the challenge and show how</w:t>
      </w:r>
      <w:r w:rsidR="001344C9">
        <w:rPr>
          <w:rFonts w:ascii="Times New Roman" w:hAnsi="Times New Roman"/>
          <w:sz w:val="24"/>
          <w:szCs w:val="24"/>
        </w:rPr>
        <w:t xml:space="preserve"> SED and ESD can be achieved using the flexibility that comes from dynamic not static approaches to goal setting and target getting owned by, not sent to, CMSs.    </w:t>
      </w:r>
      <w:r w:rsidR="007E70E9">
        <w:rPr>
          <w:rFonts w:ascii="Times New Roman" w:hAnsi="Times New Roman"/>
          <w:sz w:val="24"/>
          <w:szCs w:val="24"/>
        </w:rPr>
        <w:t xml:space="preserve">  </w:t>
      </w:r>
    </w:p>
    <w:p w14:paraId="258A645B" w14:textId="77777777" w:rsidR="00607BD6" w:rsidRDefault="00607BD6" w:rsidP="00264F3F">
      <w:pPr>
        <w:jc w:val="both"/>
        <w:rPr>
          <w:rFonts w:ascii="Times New Roman" w:hAnsi="Times New Roman"/>
          <w:sz w:val="24"/>
          <w:szCs w:val="24"/>
        </w:rPr>
      </w:pPr>
    </w:p>
    <w:p w14:paraId="6CDF4309" w14:textId="15EEE961" w:rsidR="00D93974" w:rsidRDefault="00CE0614" w:rsidP="005C7737">
      <w:pPr>
        <w:jc w:val="both"/>
        <w:rPr>
          <w:rFonts w:ascii="Times New Roman" w:hAnsi="Times New Roman"/>
          <w:sz w:val="24"/>
          <w:szCs w:val="24"/>
        </w:rPr>
      </w:pPr>
      <w:r>
        <w:rPr>
          <w:rFonts w:ascii="Times New Roman" w:hAnsi="Times New Roman"/>
          <w:sz w:val="24"/>
          <w:szCs w:val="24"/>
        </w:rPr>
        <w:t>After 60 years of meetings of the Commonwealth Ministers the 20CCEM asked</w:t>
      </w:r>
      <w:r w:rsidRPr="00CE0614">
        <w:rPr>
          <w:rFonts w:ascii="Times New Roman" w:hAnsi="Times New Roman"/>
          <w:sz w:val="24"/>
          <w:szCs w:val="24"/>
        </w:rPr>
        <w:t xml:space="preserve"> the question “Sustainability and Resilience: Can Education Deliver?”  The answer is yes if sustainability is understood to be diverse in definition and aspiration across different clusters of member states, and resilience is embedded in educational delivery systems that are designed </w:t>
      </w:r>
      <w:r>
        <w:rPr>
          <w:rFonts w:ascii="Times New Roman" w:hAnsi="Times New Roman"/>
          <w:sz w:val="24"/>
          <w:szCs w:val="24"/>
        </w:rPr>
        <w:t>to capture the essence of both Sustainable Educational Development and Education for Sustainable Development. This generation of the Commonwealth’s children</w:t>
      </w:r>
      <w:r w:rsidR="00D93974">
        <w:rPr>
          <w:rFonts w:ascii="Times New Roman" w:hAnsi="Times New Roman"/>
          <w:sz w:val="24"/>
          <w:szCs w:val="24"/>
        </w:rPr>
        <w:t xml:space="preserve"> and environmental activists </w:t>
      </w:r>
      <w:r>
        <w:rPr>
          <w:rFonts w:ascii="Times New Roman" w:hAnsi="Times New Roman"/>
          <w:sz w:val="24"/>
          <w:szCs w:val="24"/>
        </w:rPr>
        <w:t>are watching to see if the previous generation can deliver on its promises to value</w:t>
      </w:r>
      <w:r w:rsidR="00E520A5">
        <w:rPr>
          <w:rFonts w:ascii="Times New Roman" w:hAnsi="Times New Roman"/>
          <w:sz w:val="24"/>
          <w:szCs w:val="24"/>
        </w:rPr>
        <w:t xml:space="preserve"> the future over the pres</w:t>
      </w:r>
      <w:r w:rsidR="007845F7">
        <w:rPr>
          <w:rFonts w:ascii="Times New Roman" w:hAnsi="Times New Roman"/>
          <w:sz w:val="24"/>
          <w:szCs w:val="24"/>
        </w:rPr>
        <w:t>ent.</w:t>
      </w:r>
      <w:r w:rsidR="00D93974">
        <w:rPr>
          <w:rFonts w:ascii="Times New Roman" w:hAnsi="Times New Roman"/>
          <w:sz w:val="24"/>
          <w:szCs w:val="24"/>
        </w:rPr>
        <w:t xml:space="preserve"> The next CHOGM and CCEM should send signals that the Commonwealth is in the vanguard of the response and is not bringing up the rear. </w:t>
      </w:r>
    </w:p>
    <w:p w14:paraId="136E838F" w14:textId="4C1B99FE" w:rsidR="005C7737" w:rsidRPr="005C7737" w:rsidRDefault="00D93974" w:rsidP="005C7737">
      <w:pPr>
        <w:jc w:val="both"/>
        <w:rPr>
          <w:rFonts w:ascii="Times New Roman" w:hAnsi="Times New Roman"/>
          <w:sz w:val="24"/>
          <w:szCs w:val="24"/>
        </w:rPr>
        <w:sectPr w:rsidR="005C7737" w:rsidRPr="005C7737" w:rsidSect="00362C31">
          <w:pgSz w:w="11900" w:h="16820"/>
          <w:pgMar w:top="1474" w:right="1268" w:bottom="851" w:left="1474" w:header="709" w:footer="709" w:gutter="0"/>
          <w:cols w:space="708"/>
          <w:titlePg/>
          <w:docGrid w:linePitch="360"/>
        </w:sectPr>
      </w:pPr>
      <w:r>
        <w:rPr>
          <w:rFonts w:ascii="Times New Roman" w:hAnsi="Times New Roman"/>
          <w:sz w:val="24"/>
          <w:szCs w:val="24"/>
        </w:rPr>
        <w:t xml:space="preserve"> </w:t>
      </w:r>
    </w:p>
    <w:p w14:paraId="36DE8ABD" w14:textId="34BC3B8C" w:rsidR="0061687B" w:rsidRPr="005C7737" w:rsidRDefault="005C7737" w:rsidP="005C7737">
      <w:pPr>
        <w:pStyle w:val="Heading2"/>
      </w:pPr>
      <w:bookmarkStart w:id="9" w:name="_Toc377918217"/>
      <w:bookmarkStart w:id="10" w:name="_Toc378258428"/>
      <w:bookmarkStart w:id="11" w:name="_Toc421181411"/>
      <w:bookmarkEnd w:id="1"/>
      <w:r w:rsidRPr="00F554B6">
        <w:t>References</w:t>
      </w:r>
      <w:bookmarkEnd w:id="9"/>
      <w:bookmarkEnd w:id="10"/>
      <w:bookmarkEnd w:id="11"/>
      <w:r w:rsidRPr="00F554B6">
        <w:t xml:space="preserve"> </w:t>
      </w:r>
    </w:p>
    <w:p w14:paraId="00B307D7" w14:textId="77777777" w:rsidR="000C4004" w:rsidRPr="007C59BA" w:rsidRDefault="000C4004" w:rsidP="00264F3F">
      <w:pPr>
        <w:jc w:val="both"/>
        <w:rPr>
          <w:rFonts w:ascii="Times" w:eastAsia="Times New Roman" w:hAnsi="Times"/>
          <w:sz w:val="20"/>
          <w:szCs w:val="20"/>
        </w:rPr>
      </w:pPr>
    </w:p>
    <w:p w14:paraId="3F154691" w14:textId="031B1449" w:rsidR="000A08AA" w:rsidRPr="000A08AA" w:rsidRDefault="000A08AA" w:rsidP="000A08AA">
      <w:pPr>
        <w:widowControl/>
        <w:rPr>
          <w:rFonts w:ascii="Times" w:eastAsia="Times New Roman" w:hAnsi="Times"/>
          <w:sz w:val="20"/>
          <w:szCs w:val="20"/>
        </w:rPr>
      </w:pPr>
      <w:r w:rsidRPr="000A08AA">
        <w:rPr>
          <w:rFonts w:ascii="Times" w:eastAsia="Times New Roman" w:hAnsi="Times"/>
          <w:sz w:val="20"/>
          <w:szCs w:val="20"/>
        </w:rPr>
        <w:t xml:space="preserve">Commonwealth </w:t>
      </w:r>
      <w:r>
        <w:rPr>
          <w:rFonts w:ascii="Times" w:eastAsia="Times New Roman" w:hAnsi="Times"/>
          <w:sz w:val="20"/>
          <w:szCs w:val="20"/>
        </w:rPr>
        <w:t xml:space="preserve">Secretariat (2013) </w:t>
      </w:r>
      <w:r w:rsidRPr="000A08AA">
        <w:rPr>
          <w:rFonts w:ascii="Times" w:eastAsia="Times New Roman" w:hAnsi="Times"/>
          <w:sz w:val="20"/>
          <w:szCs w:val="20"/>
        </w:rPr>
        <w:t>Ministerial Working Group on the Post-2015 Development Framework for Education Technical Meeting on Advocacy Strategy Development</w:t>
      </w:r>
      <w:r>
        <w:rPr>
          <w:rFonts w:ascii="Times" w:eastAsia="Times New Roman" w:hAnsi="Times"/>
          <w:sz w:val="20"/>
          <w:szCs w:val="20"/>
        </w:rPr>
        <w:t xml:space="preserve"> </w:t>
      </w:r>
      <w:hyperlink r:id="rId12" w:history="1">
        <w:r w:rsidRPr="007C59BA">
          <w:rPr>
            <w:rFonts w:ascii="Times" w:eastAsia="Times New Roman" w:hAnsi="Times"/>
            <w:sz w:val="20"/>
            <w:szCs w:val="20"/>
          </w:rPr>
          <w:t>http://www.adeanet.org/en/system/files/post-2015_working_group_technical_meeting_report.pdf</w:t>
        </w:r>
      </w:hyperlink>
    </w:p>
    <w:p w14:paraId="618B0AB5" w14:textId="77777777" w:rsidR="000A08AA" w:rsidRPr="007C59BA" w:rsidRDefault="000A08AA" w:rsidP="00264F3F">
      <w:pPr>
        <w:jc w:val="both"/>
        <w:rPr>
          <w:rFonts w:ascii="Times" w:eastAsia="Times New Roman" w:hAnsi="Times"/>
          <w:sz w:val="20"/>
          <w:szCs w:val="20"/>
        </w:rPr>
      </w:pPr>
    </w:p>
    <w:p w14:paraId="340BDCA5" w14:textId="1EA91CE9" w:rsidR="004443AF" w:rsidRPr="007C59BA" w:rsidRDefault="000C4004" w:rsidP="004443AF">
      <w:pPr>
        <w:jc w:val="both"/>
        <w:rPr>
          <w:rFonts w:ascii="Times" w:eastAsia="Times New Roman" w:hAnsi="Times"/>
          <w:sz w:val="20"/>
          <w:szCs w:val="20"/>
        </w:rPr>
      </w:pPr>
      <w:proofErr w:type="gramStart"/>
      <w:r w:rsidRPr="007C59BA">
        <w:rPr>
          <w:rFonts w:ascii="Times" w:eastAsia="Times New Roman" w:hAnsi="Times"/>
          <w:sz w:val="20"/>
          <w:szCs w:val="20"/>
        </w:rPr>
        <w:t xml:space="preserve">Burnett, N. </w:t>
      </w:r>
      <w:r w:rsidR="004443AF" w:rsidRPr="007C59BA">
        <w:rPr>
          <w:rFonts w:ascii="Times" w:eastAsia="Times New Roman" w:hAnsi="Times"/>
          <w:sz w:val="20"/>
          <w:szCs w:val="20"/>
        </w:rPr>
        <w:t>(</w:t>
      </w:r>
      <w:r w:rsidRPr="007C59BA">
        <w:rPr>
          <w:rFonts w:ascii="Times" w:eastAsia="Times New Roman" w:hAnsi="Times"/>
          <w:sz w:val="20"/>
          <w:szCs w:val="20"/>
        </w:rPr>
        <w:t>2012</w:t>
      </w:r>
      <w:r w:rsidR="004443AF" w:rsidRPr="007C59BA">
        <w:rPr>
          <w:rFonts w:ascii="Times" w:eastAsia="Times New Roman" w:hAnsi="Times"/>
          <w:sz w:val="20"/>
          <w:szCs w:val="20"/>
        </w:rPr>
        <w:t>)</w:t>
      </w:r>
      <w:r w:rsidRPr="007C59BA">
        <w:rPr>
          <w:rFonts w:ascii="Times" w:eastAsia="Times New Roman" w:hAnsi="Times"/>
          <w:sz w:val="20"/>
          <w:szCs w:val="20"/>
        </w:rPr>
        <w:t>.</w:t>
      </w:r>
      <w:proofErr w:type="gramEnd"/>
      <w:r w:rsidRPr="007C59BA">
        <w:rPr>
          <w:rFonts w:ascii="Times" w:eastAsia="Times New Roman" w:hAnsi="Times"/>
          <w:sz w:val="20"/>
          <w:szCs w:val="20"/>
        </w:rPr>
        <w:t xml:space="preserve"> ‘Will there be education goals after 2015? </w:t>
      </w:r>
      <w:proofErr w:type="gramStart"/>
      <w:r w:rsidRPr="007C59BA">
        <w:rPr>
          <w:rFonts w:ascii="Times" w:eastAsia="Times New Roman" w:hAnsi="Times"/>
          <w:sz w:val="20"/>
          <w:szCs w:val="20"/>
        </w:rPr>
        <w:t>Education’s fragile position on the global agenda’.</w:t>
      </w:r>
      <w:proofErr w:type="gramEnd"/>
      <w:r w:rsidRPr="007C59BA">
        <w:rPr>
          <w:rFonts w:ascii="Times" w:eastAsia="Times New Roman" w:hAnsi="Times"/>
          <w:sz w:val="20"/>
          <w:szCs w:val="20"/>
        </w:rPr>
        <w:t xml:space="preserve"> In: Commonwealth Education Partnerships 2012/13, pp. 25-26. Cambridge and London: Nexus Strategic Partnerships and Commonwealth Secretariat.</w:t>
      </w:r>
    </w:p>
    <w:p w14:paraId="4E0B9114" w14:textId="77777777" w:rsidR="004443AF" w:rsidRPr="007C59BA" w:rsidRDefault="004443AF" w:rsidP="004443AF">
      <w:pPr>
        <w:jc w:val="both"/>
        <w:rPr>
          <w:rFonts w:ascii="Times" w:eastAsia="Times New Roman" w:hAnsi="Times"/>
          <w:sz w:val="20"/>
          <w:szCs w:val="20"/>
        </w:rPr>
      </w:pPr>
    </w:p>
    <w:p w14:paraId="41BB2141" w14:textId="3E8DC4A8" w:rsidR="004443AF" w:rsidRPr="007C59BA" w:rsidRDefault="004443AF" w:rsidP="004443AF">
      <w:pPr>
        <w:jc w:val="both"/>
        <w:rPr>
          <w:rFonts w:ascii="Times" w:eastAsia="Times New Roman" w:hAnsi="Times"/>
          <w:sz w:val="20"/>
          <w:szCs w:val="20"/>
        </w:rPr>
      </w:pPr>
      <w:r w:rsidRPr="007C59BA">
        <w:rPr>
          <w:rFonts w:ascii="Times" w:eastAsia="Times New Roman" w:hAnsi="Times"/>
          <w:sz w:val="20"/>
          <w:szCs w:val="20"/>
        </w:rPr>
        <w:t xml:space="preserve">CREATE. (2011). Making rights realities: Researching educational access, transitions and equity. Brighton: Consortium for Research on Educational Access, Transitions and Equity. Retrieved 15 November 2012 from </w:t>
      </w:r>
      <w:hyperlink r:id="rId13" w:history="1">
        <w:r w:rsidRPr="007C59BA">
          <w:rPr>
            <w:rFonts w:ascii="Times" w:eastAsia="Times New Roman" w:hAnsi="Times"/>
            <w:sz w:val="20"/>
            <w:szCs w:val="20"/>
          </w:rPr>
          <w:t>http://www.create-rpc.org/pdf_documents/Making-Rights-Realities-Keith-Lewin-September-2011.pdf</w:t>
        </w:r>
      </w:hyperlink>
    </w:p>
    <w:p w14:paraId="42F79773" w14:textId="77777777" w:rsidR="004443AF" w:rsidRPr="007C59BA" w:rsidRDefault="004443AF" w:rsidP="004443AF">
      <w:pPr>
        <w:jc w:val="both"/>
        <w:rPr>
          <w:rFonts w:ascii="Times" w:eastAsia="Times New Roman" w:hAnsi="Times"/>
          <w:sz w:val="20"/>
          <w:szCs w:val="20"/>
        </w:rPr>
      </w:pPr>
    </w:p>
    <w:p w14:paraId="7AE2B35E" w14:textId="77777777" w:rsidR="000A08AA" w:rsidRPr="007C59BA" w:rsidRDefault="000C4004" w:rsidP="000A08AA">
      <w:pPr>
        <w:rPr>
          <w:rFonts w:ascii="Times" w:eastAsia="Times New Roman" w:hAnsi="Times"/>
          <w:sz w:val="20"/>
          <w:szCs w:val="20"/>
        </w:rPr>
      </w:pPr>
      <w:r w:rsidRPr="007C59BA">
        <w:rPr>
          <w:rFonts w:ascii="Times" w:eastAsia="Times New Roman" w:hAnsi="Times"/>
          <w:sz w:val="20"/>
          <w:szCs w:val="20"/>
        </w:rPr>
        <w:t>Commonwealth Secretariat (2012</w:t>
      </w:r>
      <w:r w:rsidR="00EC632A" w:rsidRPr="007C59BA">
        <w:rPr>
          <w:rFonts w:ascii="Times" w:eastAsia="Times New Roman" w:hAnsi="Times"/>
          <w:sz w:val="20"/>
          <w:szCs w:val="20"/>
        </w:rPr>
        <w:t>a</w:t>
      </w:r>
      <w:r w:rsidRPr="007C59BA">
        <w:rPr>
          <w:rFonts w:ascii="Times" w:eastAsia="Times New Roman" w:hAnsi="Times"/>
          <w:sz w:val="20"/>
          <w:szCs w:val="20"/>
        </w:rPr>
        <w:t>) ‘Commonwealth Recommendations for the Post-2015 Development Framework for Education’. Background Paper. London: Commonwealth Secretariat.</w:t>
      </w:r>
      <w:r w:rsidR="000A08AA" w:rsidRPr="007C59BA">
        <w:rPr>
          <w:rFonts w:ascii="Times" w:eastAsia="Times New Roman" w:hAnsi="Times"/>
          <w:sz w:val="20"/>
          <w:szCs w:val="20"/>
        </w:rPr>
        <w:t xml:space="preserve"> </w:t>
      </w:r>
      <w:hyperlink r:id="rId14" w:history="1">
        <w:r w:rsidR="000A08AA" w:rsidRPr="007C59BA">
          <w:rPr>
            <w:rFonts w:ascii="Times" w:eastAsia="Times New Roman" w:hAnsi="Times"/>
            <w:sz w:val="20"/>
            <w:szCs w:val="20"/>
          </w:rPr>
          <w:t>http://www.create-rpc.org/pdf_documents/RevisedPost-2015WorkingGroupBackgroundPaperCommonwealthKL.pdf</w:t>
        </w:r>
      </w:hyperlink>
    </w:p>
    <w:p w14:paraId="1AC769D7" w14:textId="77777777" w:rsidR="000C4004" w:rsidRPr="007C59BA" w:rsidRDefault="000C4004" w:rsidP="004443AF">
      <w:pPr>
        <w:jc w:val="both"/>
        <w:rPr>
          <w:rFonts w:ascii="Times" w:eastAsia="Times New Roman" w:hAnsi="Times"/>
          <w:sz w:val="20"/>
          <w:szCs w:val="20"/>
        </w:rPr>
      </w:pPr>
    </w:p>
    <w:p w14:paraId="47822BD8" w14:textId="7F65E1F7" w:rsidR="004443AF" w:rsidRPr="007C59BA" w:rsidRDefault="00EC632A" w:rsidP="004443AF">
      <w:pPr>
        <w:jc w:val="both"/>
        <w:rPr>
          <w:rFonts w:ascii="Times" w:eastAsia="Times New Roman" w:hAnsi="Times"/>
          <w:sz w:val="20"/>
          <w:szCs w:val="20"/>
        </w:rPr>
      </w:pPr>
      <w:r w:rsidRPr="007C59BA">
        <w:rPr>
          <w:rFonts w:ascii="Times" w:eastAsia="Times New Roman" w:hAnsi="Times"/>
          <w:sz w:val="20"/>
          <w:szCs w:val="20"/>
        </w:rPr>
        <w:t>Commonwealth Secretariat. (2012b</w:t>
      </w:r>
      <w:r w:rsidR="004443AF" w:rsidRPr="007C59BA">
        <w:rPr>
          <w:rFonts w:ascii="Times" w:eastAsia="Times New Roman" w:hAnsi="Times"/>
          <w:sz w:val="20"/>
          <w:szCs w:val="20"/>
        </w:rPr>
        <w:t>)</w:t>
      </w:r>
      <w:proofErr w:type="gramStart"/>
      <w:r w:rsidR="000C4004" w:rsidRPr="007C59BA">
        <w:rPr>
          <w:rFonts w:ascii="Times" w:eastAsia="Times New Roman" w:hAnsi="Times"/>
          <w:sz w:val="20"/>
          <w:szCs w:val="20"/>
        </w:rPr>
        <w:t>. 18th Conference of Commonwealth Education Ministers (18CCEM) Mauritius Communiqué.</w:t>
      </w:r>
      <w:proofErr w:type="gramEnd"/>
      <w:r w:rsidR="000C4004" w:rsidRPr="007C59BA">
        <w:rPr>
          <w:rFonts w:ascii="Times" w:eastAsia="Times New Roman" w:hAnsi="Times"/>
          <w:sz w:val="20"/>
          <w:szCs w:val="20"/>
        </w:rPr>
        <w:t xml:space="preserve"> London: Commonwealth Secretariat.</w:t>
      </w:r>
    </w:p>
    <w:p w14:paraId="688ED58E" w14:textId="6608127C" w:rsidR="000C4004" w:rsidRPr="007C59BA" w:rsidRDefault="000C4004" w:rsidP="004443AF">
      <w:pPr>
        <w:jc w:val="both"/>
        <w:rPr>
          <w:rFonts w:ascii="Times" w:eastAsia="Times New Roman" w:hAnsi="Times"/>
          <w:sz w:val="20"/>
          <w:szCs w:val="20"/>
        </w:rPr>
      </w:pPr>
    </w:p>
    <w:p w14:paraId="4AA3A9E9" w14:textId="04085819" w:rsidR="000C4004" w:rsidRPr="007C59BA" w:rsidRDefault="000C4004" w:rsidP="004443AF">
      <w:pPr>
        <w:jc w:val="both"/>
        <w:rPr>
          <w:rFonts w:ascii="Times" w:eastAsia="Times New Roman" w:hAnsi="Times"/>
          <w:sz w:val="20"/>
          <w:szCs w:val="20"/>
        </w:rPr>
      </w:pPr>
      <w:r w:rsidRPr="007C59BA">
        <w:rPr>
          <w:rFonts w:ascii="Times" w:eastAsia="Times New Roman" w:hAnsi="Times"/>
          <w:sz w:val="20"/>
          <w:szCs w:val="20"/>
        </w:rPr>
        <w:t xml:space="preserve">Commonwealth Secretariat. </w:t>
      </w:r>
      <w:r w:rsidR="004443AF" w:rsidRPr="007C59BA">
        <w:rPr>
          <w:rFonts w:ascii="Times" w:eastAsia="Times New Roman" w:hAnsi="Times"/>
          <w:sz w:val="20"/>
          <w:szCs w:val="20"/>
        </w:rPr>
        <w:t>(</w:t>
      </w:r>
      <w:r w:rsidR="00EC632A" w:rsidRPr="007C59BA">
        <w:rPr>
          <w:rFonts w:ascii="Times" w:eastAsia="Times New Roman" w:hAnsi="Times"/>
          <w:sz w:val="20"/>
          <w:szCs w:val="20"/>
        </w:rPr>
        <w:t>2012c</w:t>
      </w:r>
      <w:r w:rsidR="004443AF" w:rsidRPr="007C59BA">
        <w:rPr>
          <w:rFonts w:ascii="Times" w:eastAsia="Times New Roman" w:hAnsi="Times"/>
          <w:sz w:val="20"/>
          <w:szCs w:val="20"/>
        </w:rPr>
        <w:t>)</w:t>
      </w:r>
      <w:r w:rsidRPr="007C59BA">
        <w:rPr>
          <w:rFonts w:ascii="Times" w:eastAsia="Times New Roman" w:hAnsi="Times"/>
          <w:sz w:val="20"/>
          <w:szCs w:val="20"/>
        </w:rPr>
        <w:t xml:space="preserve">. 18CCEM Issues paper synopsis. London: Commonwealth Secretariat. </w:t>
      </w:r>
    </w:p>
    <w:p w14:paraId="6A059546" w14:textId="608649FA" w:rsidR="000C4004" w:rsidRPr="007C59BA" w:rsidRDefault="000C4004" w:rsidP="004443AF">
      <w:pPr>
        <w:jc w:val="both"/>
        <w:rPr>
          <w:rFonts w:ascii="Times" w:eastAsia="Times New Roman" w:hAnsi="Times"/>
          <w:sz w:val="20"/>
          <w:szCs w:val="20"/>
        </w:rPr>
      </w:pPr>
    </w:p>
    <w:p w14:paraId="7C5DD0B5" w14:textId="66C9BAFA" w:rsidR="00B15736" w:rsidRPr="007C59BA" w:rsidRDefault="004443AF" w:rsidP="004443AF">
      <w:pPr>
        <w:jc w:val="both"/>
        <w:rPr>
          <w:rFonts w:ascii="Times" w:eastAsia="Times New Roman" w:hAnsi="Times"/>
          <w:sz w:val="20"/>
          <w:szCs w:val="20"/>
        </w:rPr>
      </w:pPr>
      <w:r w:rsidRPr="007C59BA">
        <w:rPr>
          <w:rFonts w:ascii="Times" w:eastAsia="Times New Roman" w:hAnsi="Times"/>
          <w:sz w:val="20"/>
          <w:szCs w:val="20"/>
        </w:rPr>
        <w:t>Commonwealth Secretariat. 2018. 20th Conference of Commonwealth Educati</w:t>
      </w:r>
      <w:r w:rsidR="0006185A">
        <w:rPr>
          <w:rFonts w:ascii="Times" w:eastAsia="Times New Roman" w:hAnsi="Times"/>
          <w:sz w:val="20"/>
          <w:szCs w:val="20"/>
        </w:rPr>
        <w:t>on Ministers (20</w:t>
      </w:r>
      <w:r w:rsidRPr="007C59BA">
        <w:rPr>
          <w:rFonts w:ascii="Times" w:eastAsia="Times New Roman" w:hAnsi="Times"/>
          <w:sz w:val="20"/>
          <w:szCs w:val="20"/>
        </w:rPr>
        <w:t xml:space="preserve">CCEM) Proceedings Report, </w:t>
      </w:r>
      <w:proofErr w:type="spellStart"/>
      <w:r w:rsidRPr="007C59BA">
        <w:rPr>
          <w:rFonts w:ascii="Times" w:eastAsia="Times New Roman" w:hAnsi="Times"/>
          <w:sz w:val="20"/>
          <w:szCs w:val="20"/>
        </w:rPr>
        <w:t>Nadi</w:t>
      </w:r>
      <w:proofErr w:type="spellEnd"/>
      <w:r w:rsidRPr="007C59BA">
        <w:rPr>
          <w:rFonts w:ascii="Times" w:eastAsia="Times New Roman" w:hAnsi="Times"/>
          <w:sz w:val="20"/>
          <w:szCs w:val="20"/>
        </w:rPr>
        <w:t>, Fiji. London: Commonwealth Secretariat.</w:t>
      </w:r>
    </w:p>
    <w:p w14:paraId="361C9DC0" w14:textId="77777777" w:rsidR="00B15736" w:rsidRPr="007C59BA" w:rsidRDefault="00B15736" w:rsidP="004443AF">
      <w:pPr>
        <w:jc w:val="both"/>
        <w:rPr>
          <w:rFonts w:ascii="Times" w:eastAsia="Times New Roman" w:hAnsi="Times"/>
          <w:sz w:val="20"/>
          <w:szCs w:val="20"/>
        </w:rPr>
      </w:pPr>
    </w:p>
    <w:p w14:paraId="64BBCFBD" w14:textId="77777777" w:rsidR="00B15736" w:rsidRPr="007C59BA" w:rsidRDefault="00B15736" w:rsidP="00B15736">
      <w:pPr>
        <w:rPr>
          <w:rFonts w:ascii="Times" w:eastAsia="Times New Roman" w:hAnsi="Times"/>
          <w:sz w:val="20"/>
          <w:szCs w:val="20"/>
        </w:rPr>
      </w:pPr>
      <w:proofErr w:type="gramStart"/>
      <w:r w:rsidRPr="007C59BA">
        <w:rPr>
          <w:rFonts w:ascii="Times" w:eastAsia="Times New Roman" w:hAnsi="Times"/>
          <w:sz w:val="20"/>
          <w:szCs w:val="20"/>
        </w:rPr>
        <w:t>Easterly, William.</w:t>
      </w:r>
      <w:proofErr w:type="gramEnd"/>
      <w:r w:rsidRPr="007C59BA">
        <w:rPr>
          <w:rFonts w:ascii="Times" w:eastAsia="Times New Roman" w:hAnsi="Times"/>
          <w:sz w:val="20"/>
          <w:szCs w:val="20"/>
        </w:rPr>
        <w:t xml:space="preserve"> 2013. The Tyranny of Experts: Economists, Dictators and the Forgotten Rights of the Poor. New York: Basic Books.</w:t>
      </w:r>
    </w:p>
    <w:p w14:paraId="05D558C9" w14:textId="77777777" w:rsidR="00B15736" w:rsidRPr="007C59BA" w:rsidRDefault="00B15736" w:rsidP="004443AF">
      <w:pPr>
        <w:jc w:val="both"/>
        <w:rPr>
          <w:rFonts w:ascii="Times" w:eastAsia="Times New Roman" w:hAnsi="Times"/>
          <w:sz w:val="20"/>
          <w:szCs w:val="20"/>
        </w:rPr>
      </w:pPr>
    </w:p>
    <w:p w14:paraId="73B41620" w14:textId="4F1651BD" w:rsidR="004443AF" w:rsidRPr="007C59BA" w:rsidRDefault="004443AF" w:rsidP="004443AF">
      <w:pPr>
        <w:jc w:val="both"/>
        <w:rPr>
          <w:rFonts w:ascii="Times" w:eastAsia="Times New Roman" w:hAnsi="Times"/>
          <w:sz w:val="20"/>
          <w:szCs w:val="20"/>
        </w:rPr>
      </w:pPr>
      <w:r w:rsidRPr="007C59BA">
        <w:rPr>
          <w:rFonts w:ascii="Times" w:eastAsia="Times New Roman" w:hAnsi="Times"/>
          <w:sz w:val="20"/>
          <w:szCs w:val="20"/>
        </w:rPr>
        <w:t xml:space="preserve">Lewin, KM. (2012). Revisiting the Internationally Agreed Goals for education. </w:t>
      </w:r>
      <w:proofErr w:type="gramStart"/>
      <w:r w:rsidRPr="007C59BA">
        <w:rPr>
          <w:rFonts w:ascii="Times" w:eastAsia="Times New Roman" w:hAnsi="Times"/>
          <w:sz w:val="20"/>
          <w:szCs w:val="20"/>
        </w:rPr>
        <w:t>Presentation given at the 18th Conference of Commonwealth Education Ministers, Mauritius, 30 August.</w:t>
      </w:r>
      <w:proofErr w:type="gramEnd"/>
      <w:r w:rsidRPr="007C59BA">
        <w:rPr>
          <w:rFonts w:ascii="Times" w:eastAsia="Times New Roman" w:hAnsi="Times"/>
          <w:sz w:val="20"/>
          <w:szCs w:val="20"/>
        </w:rPr>
        <w:t xml:space="preserve"> Retrieved 7 November 2012 from </w:t>
      </w:r>
      <w:hyperlink r:id="rId15" w:history="1">
        <w:r w:rsidRPr="007C59BA">
          <w:rPr>
            <w:rFonts w:ascii="Times" w:eastAsia="Times New Roman" w:hAnsi="Times"/>
            <w:sz w:val="20"/>
            <w:szCs w:val="20"/>
          </w:rPr>
          <w:t>http://www.create-rpc.org/pdf_documents/CCEM18KeithLewinRevisitingtheIAGsSummary.pdf</w:t>
        </w:r>
      </w:hyperlink>
    </w:p>
    <w:p w14:paraId="5726C7C0" w14:textId="77777777" w:rsidR="004443AF" w:rsidRPr="007C59BA" w:rsidRDefault="004443AF" w:rsidP="004443AF">
      <w:pPr>
        <w:jc w:val="both"/>
        <w:rPr>
          <w:rFonts w:ascii="Times" w:eastAsia="Times New Roman" w:hAnsi="Times"/>
          <w:sz w:val="20"/>
          <w:szCs w:val="20"/>
        </w:rPr>
      </w:pPr>
    </w:p>
    <w:p w14:paraId="7BEB519A" w14:textId="2A20CDC1" w:rsidR="000C4004" w:rsidRPr="007C59BA" w:rsidRDefault="000C4004" w:rsidP="004443AF">
      <w:pPr>
        <w:jc w:val="both"/>
        <w:rPr>
          <w:rFonts w:ascii="Times" w:eastAsia="Times New Roman" w:hAnsi="Times"/>
          <w:sz w:val="20"/>
          <w:szCs w:val="20"/>
        </w:rPr>
      </w:pPr>
      <w:r w:rsidRPr="007C59BA">
        <w:rPr>
          <w:rFonts w:ascii="Times" w:eastAsia="Times New Roman" w:hAnsi="Times"/>
          <w:sz w:val="20"/>
          <w:szCs w:val="20"/>
        </w:rPr>
        <w:t xml:space="preserve">Lewin K. M. (2015) ‘Educational Access, Equity and Development: Planning to Make Rights Realities’. </w:t>
      </w:r>
      <w:proofErr w:type="gramStart"/>
      <w:r w:rsidRPr="007C59BA">
        <w:rPr>
          <w:rFonts w:ascii="Times" w:eastAsia="Times New Roman" w:hAnsi="Times"/>
          <w:sz w:val="20"/>
          <w:szCs w:val="20"/>
        </w:rPr>
        <w:t>Fundamentals of Educational Planning 98.</w:t>
      </w:r>
      <w:proofErr w:type="gramEnd"/>
      <w:r w:rsidRPr="007C59BA">
        <w:rPr>
          <w:rFonts w:ascii="Times" w:eastAsia="Times New Roman" w:hAnsi="Times"/>
          <w:sz w:val="20"/>
          <w:szCs w:val="20"/>
        </w:rPr>
        <w:t xml:space="preserve"> Paris:</w:t>
      </w:r>
      <w:r w:rsidR="004443AF" w:rsidRPr="007C59BA">
        <w:rPr>
          <w:rFonts w:ascii="Times" w:eastAsia="Times New Roman" w:hAnsi="Times"/>
          <w:sz w:val="20"/>
          <w:szCs w:val="20"/>
        </w:rPr>
        <w:t xml:space="preserve"> UNESCO</w:t>
      </w:r>
      <w:r w:rsidRPr="007C59BA">
        <w:rPr>
          <w:rFonts w:ascii="Times" w:eastAsia="Times New Roman" w:hAnsi="Times"/>
          <w:sz w:val="20"/>
          <w:szCs w:val="20"/>
        </w:rPr>
        <w:t xml:space="preserve">. </w:t>
      </w:r>
    </w:p>
    <w:p w14:paraId="1AD0D42A" w14:textId="77777777" w:rsidR="004443AF" w:rsidRPr="007C59BA" w:rsidRDefault="004443AF" w:rsidP="004443AF">
      <w:pPr>
        <w:jc w:val="both"/>
        <w:rPr>
          <w:rFonts w:ascii="Times" w:eastAsia="Times New Roman" w:hAnsi="Times"/>
          <w:sz w:val="20"/>
          <w:szCs w:val="20"/>
        </w:rPr>
      </w:pPr>
    </w:p>
    <w:p w14:paraId="0DA672D7" w14:textId="77777777" w:rsidR="000C4004" w:rsidRPr="007C59BA" w:rsidRDefault="000C4004" w:rsidP="004443AF">
      <w:pPr>
        <w:jc w:val="both"/>
        <w:rPr>
          <w:rFonts w:ascii="Times" w:eastAsia="Times New Roman" w:hAnsi="Times"/>
          <w:sz w:val="20"/>
          <w:szCs w:val="20"/>
        </w:rPr>
      </w:pPr>
      <w:proofErr w:type="gramStart"/>
      <w:r w:rsidRPr="007C59BA">
        <w:rPr>
          <w:rFonts w:ascii="Times" w:eastAsia="Times New Roman" w:hAnsi="Times"/>
          <w:sz w:val="20"/>
          <w:szCs w:val="20"/>
        </w:rPr>
        <w:t>Lewin K. M. (2017) ‘The Educational Challenges of Transition; Key Issues Towards 2030’.</w:t>
      </w:r>
      <w:proofErr w:type="gramEnd"/>
      <w:r w:rsidRPr="007C59BA">
        <w:rPr>
          <w:rFonts w:ascii="Times" w:eastAsia="Times New Roman" w:hAnsi="Times"/>
          <w:sz w:val="20"/>
          <w:szCs w:val="20"/>
        </w:rPr>
        <w:t xml:space="preserve"> Washington, DC: Global Partnership for Education.</w:t>
      </w:r>
    </w:p>
    <w:p w14:paraId="56ACF79E" w14:textId="77777777" w:rsidR="00B55089" w:rsidRPr="007C59BA" w:rsidRDefault="00B55089" w:rsidP="004443AF">
      <w:pPr>
        <w:jc w:val="both"/>
        <w:rPr>
          <w:rFonts w:ascii="Times" w:eastAsia="Times New Roman" w:hAnsi="Times"/>
          <w:sz w:val="20"/>
          <w:szCs w:val="20"/>
        </w:rPr>
      </w:pPr>
    </w:p>
    <w:p w14:paraId="721CDE96" w14:textId="578E8A0A" w:rsidR="00B55089" w:rsidRPr="007C59BA" w:rsidRDefault="00B55089" w:rsidP="00B55089">
      <w:pPr>
        <w:jc w:val="both"/>
        <w:rPr>
          <w:rFonts w:ascii="Times" w:eastAsia="Times New Roman" w:hAnsi="Times"/>
          <w:sz w:val="20"/>
          <w:szCs w:val="20"/>
        </w:rPr>
      </w:pPr>
      <w:r w:rsidRPr="007C59BA">
        <w:rPr>
          <w:rFonts w:ascii="Times" w:eastAsia="Times New Roman" w:hAnsi="Times"/>
          <w:sz w:val="20"/>
          <w:szCs w:val="20"/>
        </w:rPr>
        <w:t xml:space="preserve">Lewin K M (2018) Learning matters and the World Development 2018. UKFIET Blog  </w:t>
      </w:r>
    </w:p>
    <w:p w14:paraId="44A4422A" w14:textId="4A87258C" w:rsidR="00B55089" w:rsidRPr="007C59BA" w:rsidRDefault="00012319" w:rsidP="00B55089">
      <w:pPr>
        <w:jc w:val="both"/>
        <w:rPr>
          <w:rFonts w:ascii="Times" w:eastAsia="Times New Roman" w:hAnsi="Times"/>
          <w:sz w:val="20"/>
          <w:szCs w:val="20"/>
        </w:rPr>
      </w:pPr>
      <w:hyperlink r:id="rId16" w:history="1">
        <w:r w:rsidR="00B55089" w:rsidRPr="007C59BA">
          <w:rPr>
            <w:rFonts w:ascii="Times" w:eastAsia="Times New Roman" w:hAnsi="Times"/>
            <w:sz w:val="20"/>
            <w:szCs w:val="20"/>
          </w:rPr>
          <w:t>https://www.ukfiet.org/2018/learning-matters-and-the-world-development-report-2018/</w:t>
        </w:r>
      </w:hyperlink>
      <w:r w:rsidR="00B55089" w:rsidRPr="007C59BA">
        <w:rPr>
          <w:rFonts w:ascii="Times" w:eastAsia="Times New Roman" w:hAnsi="Times"/>
          <w:sz w:val="20"/>
          <w:szCs w:val="20"/>
        </w:rPr>
        <w:t xml:space="preserve">  </w:t>
      </w:r>
    </w:p>
    <w:p w14:paraId="43C0E3D3" w14:textId="77777777" w:rsidR="00B15736" w:rsidRPr="007C59BA" w:rsidRDefault="00B15736" w:rsidP="00B15736">
      <w:pPr>
        <w:jc w:val="both"/>
        <w:rPr>
          <w:rFonts w:ascii="Times" w:eastAsia="Times New Roman" w:hAnsi="Times"/>
          <w:sz w:val="20"/>
          <w:szCs w:val="20"/>
        </w:rPr>
      </w:pPr>
    </w:p>
    <w:p w14:paraId="75E3EB25" w14:textId="77777777" w:rsidR="00B15736" w:rsidRPr="007C59BA" w:rsidRDefault="00B15736" w:rsidP="00B15736">
      <w:pPr>
        <w:jc w:val="both"/>
        <w:rPr>
          <w:rFonts w:ascii="Times" w:eastAsia="Times New Roman" w:hAnsi="Times"/>
          <w:sz w:val="20"/>
          <w:szCs w:val="20"/>
        </w:rPr>
      </w:pPr>
      <w:r w:rsidRPr="007C59BA">
        <w:rPr>
          <w:rFonts w:ascii="Times" w:eastAsia="Times New Roman" w:hAnsi="Times"/>
          <w:sz w:val="20"/>
          <w:szCs w:val="20"/>
        </w:rPr>
        <w:t>UIS (2017</w:t>
      </w:r>
      <w:proofErr w:type="gramStart"/>
      <w:r w:rsidRPr="007C59BA">
        <w:rPr>
          <w:rFonts w:ascii="Times" w:eastAsia="Times New Roman" w:hAnsi="Times"/>
          <w:sz w:val="20"/>
          <w:szCs w:val="20"/>
        </w:rPr>
        <w:t>)  UNESCO</w:t>
      </w:r>
      <w:proofErr w:type="gramEnd"/>
      <w:r w:rsidRPr="007C59BA">
        <w:rPr>
          <w:rFonts w:ascii="Times" w:eastAsia="Times New Roman" w:hAnsi="Times"/>
          <w:sz w:val="20"/>
          <w:szCs w:val="20"/>
        </w:rPr>
        <w:t xml:space="preserve"> Institute of Statistics, Education Online Database.  Montreal: UIS  </w:t>
      </w:r>
    </w:p>
    <w:p w14:paraId="0A0C19F7" w14:textId="77777777" w:rsidR="00B15736" w:rsidRPr="007C59BA" w:rsidRDefault="00B15736" w:rsidP="004443AF">
      <w:pPr>
        <w:jc w:val="both"/>
        <w:rPr>
          <w:rFonts w:ascii="Times" w:eastAsia="Times New Roman" w:hAnsi="Times"/>
          <w:sz w:val="20"/>
          <w:szCs w:val="20"/>
        </w:rPr>
      </w:pPr>
    </w:p>
    <w:p w14:paraId="5621365F" w14:textId="044E807E" w:rsidR="00B15736" w:rsidRPr="007C59BA" w:rsidRDefault="00B55089" w:rsidP="00B15736">
      <w:pPr>
        <w:jc w:val="both"/>
        <w:rPr>
          <w:rFonts w:ascii="Times" w:eastAsia="Times New Roman" w:hAnsi="Times"/>
          <w:sz w:val="20"/>
          <w:szCs w:val="20"/>
        </w:rPr>
      </w:pPr>
      <w:proofErr w:type="gramStart"/>
      <w:r w:rsidRPr="007C59BA">
        <w:rPr>
          <w:rFonts w:ascii="Times" w:eastAsia="Times New Roman" w:hAnsi="Times"/>
          <w:sz w:val="20"/>
          <w:szCs w:val="20"/>
        </w:rPr>
        <w:t>UNECA</w:t>
      </w:r>
      <w:r w:rsidR="00B15736" w:rsidRPr="007C59BA">
        <w:rPr>
          <w:rFonts w:ascii="Times" w:eastAsia="Times New Roman" w:hAnsi="Times"/>
          <w:sz w:val="20"/>
          <w:szCs w:val="20"/>
        </w:rPr>
        <w:t xml:space="preserve"> (2012) UN Economic Commission for Africa.</w:t>
      </w:r>
      <w:proofErr w:type="gramEnd"/>
      <w:r w:rsidR="00B15736" w:rsidRPr="007C59BA">
        <w:rPr>
          <w:rFonts w:ascii="Times" w:eastAsia="Times New Roman" w:hAnsi="Times"/>
          <w:sz w:val="20"/>
          <w:szCs w:val="20"/>
        </w:rPr>
        <w:t xml:space="preserve"> Addis Ababa, Ethiopia.</w:t>
      </w:r>
    </w:p>
    <w:p w14:paraId="2A7EEAF3" w14:textId="04C90C13" w:rsidR="000C4004" w:rsidRPr="007C59BA" w:rsidRDefault="000C4004" w:rsidP="004443AF">
      <w:pPr>
        <w:jc w:val="both"/>
        <w:rPr>
          <w:rFonts w:ascii="Times" w:eastAsia="Times New Roman" w:hAnsi="Times"/>
          <w:sz w:val="20"/>
          <w:szCs w:val="20"/>
        </w:rPr>
      </w:pPr>
      <w:r w:rsidRPr="007C59BA">
        <w:rPr>
          <w:rFonts w:ascii="Times" w:eastAsia="Times New Roman" w:hAnsi="Times"/>
          <w:sz w:val="20"/>
          <w:szCs w:val="20"/>
        </w:rPr>
        <w:t>Development Goals: Learning Objectives. Paris: UNESCO.</w:t>
      </w:r>
    </w:p>
    <w:p w14:paraId="47E6CB87" w14:textId="77777777" w:rsidR="000C4004" w:rsidRPr="007C59BA" w:rsidRDefault="000C4004" w:rsidP="004443AF">
      <w:pPr>
        <w:jc w:val="both"/>
        <w:rPr>
          <w:rFonts w:ascii="Times" w:eastAsia="Times New Roman" w:hAnsi="Times"/>
          <w:sz w:val="20"/>
          <w:szCs w:val="20"/>
        </w:rPr>
      </w:pPr>
    </w:p>
    <w:p w14:paraId="79E3FE62" w14:textId="77777777" w:rsidR="00B15736" w:rsidRPr="007C59BA" w:rsidRDefault="00B15736" w:rsidP="00B15736">
      <w:pPr>
        <w:jc w:val="both"/>
        <w:rPr>
          <w:rFonts w:ascii="Times" w:eastAsia="Times New Roman" w:hAnsi="Times"/>
          <w:sz w:val="20"/>
          <w:szCs w:val="20"/>
        </w:rPr>
      </w:pPr>
      <w:r w:rsidRPr="007C59BA">
        <w:rPr>
          <w:rFonts w:ascii="Times" w:eastAsia="Times New Roman" w:hAnsi="Times"/>
          <w:sz w:val="20"/>
          <w:szCs w:val="20"/>
        </w:rPr>
        <w:t xml:space="preserve">UNESCO (2018) 11 Global Indicators for the SDGs: Cheat Sheet   </w:t>
      </w:r>
    </w:p>
    <w:p w14:paraId="3AA2EB17" w14:textId="77777777" w:rsidR="00B15736" w:rsidRPr="007C59BA" w:rsidRDefault="00012319" w:rsidP="00B15736">
      <w:pPr>
        <w:jc w:val="both"/>
        <w:rPr>
          <w:rFonts w:ascii="Times" w:eastAsia="Times New Roman" w:hAnsi="Times"/>
          <w:sz w:val="20"/>
          <w:szCs w:val="20"/>
        </w:rPr>
      </w:pPr>
      <w:hyperlink r:id="rId17" w:history="1">
        <w:r w:rsidR="00B15736" w:rsidRPr="007C59BA">
          <w:rPr>
            <w:rFonts w:ascii="Times" w:eastAsia="Times New Roman" w:hAnsi="Times"/>
            <w:sz w:val="20"/>
            <w:szCs w:val="20"/>
          </w:rPr>
          <w:t>https://www.sdg4education2030.org/cheat-sheet-sdg4-indicators-12-july-2018</w:t>
        </w:r>
      </w:hyperlink>
    </w:p>
    <w:p w14:paraId="1721A401" w14:textId="77777777" w:rsidR="00B15736" w:rsidRPr="007C59BA" w:rsidRDefault="00012319" w:rsidP="00B15736">
      <w:pPr>
        <w:jc w:val="both"/>
        <w:rPr>
          <w:rFonts w:ascii="Times" w:eastAsia="Times New Roman" w:hAnsi="Times"/>
          <w:sz w:val="20"/>
          <w:szCs w:val="20"/>
        </w:rPr>
      </w:pPr>
      <w:hyperlink r:id="rId18" w:history="1">
        <w:r w:rsidR="00B15736" w:rsidRPr="007C59BA">
          <w:rPr>
            <w:rFonts w:ascii="Times" w:eastAsia="Times New Roman" w:hAnsi="Times"/>
            <w:sz w:val="20"/>
            <w:szCs w:val="20"/>
          </w:rPr>
          <w:t>http://uis.unesco.org/sites/default/files/documents/11-global-indicators-sdg4-cheat-sheet-2018-en.pdf</w:t>
        </w:r>
      </w:hyperlink>
    </w:p>
    <w:p w14:paraId="7C1AC831" w14:textId="77777777" w:rsidR="000C4004" w:rsidRPr="007C59BA" w:rsidRDefault="000C4004" w:rsidP="004443AF">
      <w:pPr>
        <w:jc w:val="both"/>
        <w:rPr>
          <w:rFonts w:ascii="Times" w:eastAsia="Times New Roman" w:hAnsi="Times"/>
          <w:sz w:val="20"/>
          <w:szCs w:val="20"/>
        </w:rPr>
      </w:pPr>
    </w:p>
    <w:p w14:paraId="7E613CFF" w14:textId="09A13F75" w:rsidR="004443AF" w:rsidRPr="007C59BA" w:rsidRDefault="00C67770" w:rsidP="004443AF">
      <w:pPr>
        <w:jc w:val="both"/>
        <w:rPr>
          <w:rFonts w:ascii="Times" w:eastAsia="Times New Roman" w:hAnsi="Times"/>
          <w:sz w:val="20"/>
          <w:szCs w:val="20"/>
        </w:rPr>
      </w:pPr>
      <w:proofErr w:type="gramStart"/>
      <w:r w:rsidRPr="007C59BA">
        <w:rPr>
          <w:rFonts w:ascii="Times" w:eastAsia="Times New Roman" w:hAnsi="Times"/>
          <w:sz w:val="20"/>
          <w:szCs w:val="20"/>
        </w:rPr>
        <w:t>UN 2019 Global Assessment.</w:t>
      </w:r>
      <w:proofErr w:type="gramEnd"/>
      <w:r w:rsidRPr="007C59BA">
        <w:rPr>
          <w:rFonts w:ascii="Times" w:eastAsia="Times New Roman" w:hAnsi="Times"/>
          <w:sz w:val="20"/>
          <w:szCs w:val="20"/>
        </w:rPr>
        <w:t xml:space="preserve"> Inter Governmental Science Policy Platform on Biodiversity and Ecosystems Services (IPBES</w:t>
      </w:r>
      <w:proofErr w:type="gramStart"/>
      <w:r w:rsidRPr="007C59BA">
        <w:rPr>
          <w:rFonts w:ascii="Times" w:eastAsia="Times New Roman" w:hAnsi="Times"/>
          <w:sz w:val="20"/>
          <w:szCs w:val="20"/>
        </w:rPr>
        <w:t xml:space="preserve">)  </w:t>
      </w:r>
      <w:proofErr w:type="gramEnd"/>
      <w:r w:rsidRPr="007C59BA">
        <w:rPr>
          <w:rFonts w:ascii="Times" w:eastAsia="Times New Roman" w:hAnsi="Times"/>
          <w:sz w:val="20"/>
          <w:szCs w:val="20"/>
        </w:rPr>
        <w:fldChar w:fldCharType="begin"/>
      </w:r>
      <w:r w:rsidRPr="007C59BA">
        <w:rPr>
          <w:rFonts w:ascii="Times" w:eastAsia="Times New Roman" w:hAnsi="Times"/>
          <w:sz w:val="20"/>
          <w:szCs w:val="20"/>
        </w:rPr>
        <w:instrText xml:space="preserve"> HYPERLINK "https://www.ipbes.net/" </w:instrText>
      </w:r>
      <w:r w:rsidRPr="007C59BA">
        <w:rPr>
          <w:rFonts w:ascii="Times" w:eastAsia="Times New Roman" w:hAnsi="Times"/>
          <w:sz w:val="20"/>
          <w:szCs w:val="20"/>
        </w:rPr>
        <w:fldChar w:fldCharType="separate"/>
      </w:r>
      <w:r w:rsidRPr="007C59BA">
        <w:rPr>
          <w:rFonts w:ascii="Times" w:eastAsia="Times New Roman" w:hAnsi="Times"/>
          <w:sz w:val="20"/>
          <w:szCs w:val="20"/>
        </w:rPr>
        <w:t>https://www.ipbes.net/</w:t>
      </w:r>
      <w:r w:rsidRPr="007C59BA">
        <w:rPr>
          <w:rFonts w:ascii="Times" w:eastAsia="Times New Roman" w:hAnsi="Times"/>
          <w:sz w:val="20"/>
          <w:szCs w:val="20"/>
        </w:rPr>
        <w:fldChar w:fldCharType="end"/>
      </w:r>
    </w:p>
    <w:p w14:paraId="219C2F6B" w14:textId="77777777" w:rsidR="004443AF" w:rsidRPr="007C59BA" w:rsidRDefault="004443AF" w:rsidP="004443AF">
      <w:pPr>
        <w:jc w:val="both"/>
        <w:rPr>
          <w:rFonts w:ascii="Times" w:eastAsia="Times New Roman" w:hAnsi="Times"/>
          <w:sz w:val="20"/>
          <w:szCs w:val="20"/>
        </w:rPr>
      </w:pPr>
    </w:p>
    <w:p w14:paraId="1BC60441" w14:textId="77777777" w:rsidR="000C4004" w:rsidRPr="007C59BA" w:rsidRDefault="000C4004" w:rsidP="004443AF">
      <w:pPr>
        <w:jc w:val="both"/>
        <w:rPr>
          <w:rFonts w:ascii="Times" w:eastAsia="Times New Roman" w:hAnsi="Times"/>
          <w:sz w:val="20"/>
          <w:szCs w:val="20"/>
        </w:rPr>
      </w:pPr>
      <w:proofErr w:type="gramStart"/>
      <w:r w:rsidRPr="007C59BA">
        <w:rPr>
          <w:rFonts w:ascii="Times" w:eastAsia="Times New Roman" w:hAnsi="Times"/>
          <w:sz w:val="20"/>
          <w:szCs w:val="20"/>
        </w:rPr>
        <w:t>World Bank (2017) World Development Report 2018.</w:t>
      </w:r>
      <w:proofErr w:type="gramEnd"/>
      <w:r w:rsidRPr="007C59BA">
        <w:rPr>
          <w:rFonts w:ascii="Times" w:eastAsia="Times New Roman" w:hAnsi="Times"/>
          <w:sz w:val="20"/>
          <w:szCs w:val="20"/>
        </w:rPr>
        <w:t xml:space="preserve"> Learning to Realize Education’s Promise. Washington, DC: World Bank.</w:t>
      </w:r>
    </w:p>
    <w:p w14:paraId="5596DFA6" w14:textId="77777777" w:rsidR="00C67770" w:rsidRPr="007C59BA" w:rsidRDefault="00C67770" w:rsidP="004443AF">
      <w:pPr>
        <w:jc w:val="both"/>
        <w:rPr>
          <w:rFonts w:ascii="Times" w:eastAsia="Times New Roman" w:hAnsi="Times"/>
          <w:sz w:val="20"/>
          <w:szCs w:val="20"/>
        </w:rPr>
      </w:pPr>
    </w:p>
    <w:p w14:paraId="6EB7AB8C" w14:textId="77777777" w:rsidR="004E6C5F" w:rsidRDefault="004E6C5F" w:rsidP="003B64A8">
      <w:pPr>
        <w:jc w:val="both"/>
        <w:rPr>
          <w:rFonts w:ascii="Trebuchet MS" w:hAnsi="Trebuchet MS"/>
          <w:color w:val="000000" w:themeColor="text1"/>
        </w:rPr>
      </w:pPr>
    </w:p>
    <w:sectPr w:rsidR="004E6C5F" w:rsidSect="005C7737">
      <w:pgSz w:w="11900" w:h="16820"/>
      <w:pgMar w:top="1440" w:right="1135" w:bottom="1440"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4C7A2" w14:textId="77777777" w:rsidR="0072461C" w:rsidRDefault="0072461C" w:rsidP="00581431">
      <w:r>
        <w:separator/>
      </w:r>
    </w:p>
  </w:endnote>
  <w:endnote w:type="continuationSeparator" w:id="0">
    <w:p w14:paraId="0949A2BF" w14:textId="77777777" w:rsidR="0072461C" w:rsidRDefault="0072461C" w:rsidP="0058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altName w:val="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B1B9C" w14:textId="77777777" w:rsidR="0072461C" w:rsidRDefault="0072461C" w:rsidP="00581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EE29F" w14:textId="77777777" w:rsidR="0072461C" w:rsidRDefault="0072461C" w:rsidP="005814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50E8E" w14:textId="77777777" w:rsidR="0072461C" w:rsidRDefault="0072461C" w:rsidP="00581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2319">
      <w:rPr>
        <w:rStyle w:val="PageNumber"/>
        <w:noProof/>
      </w:rPr>
      <w:t>17</w:t>
    </w:r>
    <w:r>
      <w:rPr>
        <w:rStyle w:val="PageNumber"/>
      </w:rPr>
      <w:fldChar w:fldCharType="end"/>
    </w:r>
  </w:p>
  <w:p w14:paraId="782C09CA" w14:textId="77777777" w:rsidR="0072461C" w:rsidRDefault="0072461C" w:rsidP="005814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760A7" w14:textId="77777777" w:rsidR="0072461C" w:rsidRDefault="0072461C" w:rsidP="00581431">
      <w:r>
        <w:separator/>
      </w:r>
    </w:p>
  </w:footnote>
  <w:footnote w:type="continuationSeparator" w:id="0">
    <w:p w14:paraId="5DCDFB41" w14:textId="77777777" w:rsidR="0072461C" w:rsidRDefault="0072461C" w:rsidP="00581431">
      <w:r>
        <w:continuationSeparator/>
      </w:r>
    </w:p>
  </w:footnote>
  <w:footnote w:id="1">
    <w:p w14:paraId="13705095" w14:textId="3B146CA2" w:rsidR="0072461C" w:rsidRPr="006E431E" w:rsidRDefault="0072461C">
      <w:pPr>
        <w:pStyle w:val="FootnoteText"/>
        <w:rPr>
          <w:sz w:val="20"/>
          <w:szCs w:val="20"/>
          <w:lang w:val="en-US"/>
        </w:rPr>
      </w:pPr>
      <w:r w:rsidRPr="006E431E">
        <w:rPr>
          <w:rStyle w:val="FootnoteReference"/>
          <w:sz w:val="20"/>
          <w:szCs w:val="20"/>
        </w:rPr>
        <w:footnoteRef/>
      </w:r>
      <w:r w:rsidRPr="006E431E">
        <w:rPr>
          <w:sz w:val="20"/>
          <w:szCs w:val="20"/>
        </w:rPr>
        <w:t xml:space="preserve"> </w:t>
      </w:r>
      <w:r w:rsidRPr="006E431E">
        <w:rPr>
          <w:sz w:val="20"/>
          <w:szCs w:val="20"/>
          <w:lang w:val="en-US"/>
        </w:rPr>
        <w:t>This paper draws on the analysis and documentation generated in preparation of the 18</w:t>
      </w:r>
      <w:r w:rsidRPr="006E431E">
        <w:rPr>
          <w:sz w:val="20"/>
          <w:szCs w:val="20"/>
          <w:vertAlign w:val="superscript"/>
          <w:lang w:val="en-US"/>
        </w:rPr>
        <w:t>th</w:t>
      </w:r>
      <w:r w:rsidRPr="006E431E">
        <w:rPr>
          <w:sz w:val="20"/>
          <w:szCs w:val="20"/>
          <w:lang w:val="en-US"/>
        </w:rPr>
        <w:t xml:space="preserve"> CCEM and 20</w:t>
      </w:r>
      <w:r w:rsidRPr="006E431E">
        <w:rPr>
          <w:sz w:val="20"/>
          <w:szCs w:val="20"/>
          <w:vertAlign w:val="superscript"/>
          <w:lang w:val="en-US"/>
        </w:rPr>
        <w:t>th</w:t>
      </w:r>
      <w:r w:rsidRPr="006E431E">
        <w:rPr>
          <w:sz w:val="20"/>
          <w:szCs w:val="20"/>
          <w:lang w:val="en-US"/>
        </w:rPr>
        <w:t xml:space="preserve"> CCEM for its discussions of the CMGT. (Commonwealth Secretariat (2012 a, b and c) and Commonwealth Secretariat </w:t>
      </w:r>
      <w:r>
        <w:rPr>
          <w:sz w:val="20"/>
          <w:szCs w:val="20"/>
          <w:lang w:val="en-US"/>
        </w:rPr>
        <w:t>(2018</w:t>
      </w:r>
      <w:r w:rsidRPr="006E431E">
        <w:rPr>
          <w:sz w:val="20"/>
          <w:szCs w:val="20"/>
          <w:lang w:val="en-US"/>
        </w:rPr>
        <w:t xml:space="preserve">). </w:t>
      </w:r>
    </w:p>
  </w:footnote>
  <w:footnote w:id="2">
    <w:p w14:paraId="6348873C" w14:textId="31B7546F" w:rsidR="0072461C" w:rsidRPr="00B85D02" w:rsidRDefault="0072461C">
      <w:pPr>
        <w:pStyle w:val="FootnoteText"/>
        <w:rPr>
          <w:lang w:val="en-US"/>
        </w:rPr>
      </w:pPr>
      <w:r w:rsidRPr="006E431E">
        <w:rPr>
          <w:rStyle w:val="FootnoteReference"/>
          <w:sz w:val="20"/>
          <w:szCs w:val="20"/>
        </w:rPr>
        <w:footnoteRef/>
      </w:r>
      <w:r w:rsidRPr="006E431E">
        <w:rPr>
          <w:sz w:val="20"/>
          <w:szCs w:val="20"/>
        </w:rPr>
        <w:t xml:space="preserve"> </w:t>
      </w:r>
      <w:r w:rsidRPr="006E431E">
        <w:rPr>
          <w:sz w:val="20"/>
          <w:szCs w:val="20"/>
          <w:lang w:val="en-US"/>
        </w:rPr>
        <w:t xml:space="preserve">This paper is abridged from a longer </w:t>
      </w:r>
      <w:proofErr w:type="gramStart"/>
      <w:r w:rsidRPr="006E431E">
        <w:rPr>
          <w:sz w:val="20"/>
          <w:szCs w:val="20"/>
          <w:lang w:val="en-US"/>
        </w:rPr>
        <w:t>version which</w:t>
      </w:r>
      <w:proofErr w:type="gramEnd"/>
      <w:r w:rsidRPr="006E431E">
        <w:rPr>
          <w:sz w:val="20"/>
          <w:szCs w:val="20"/>
          <w:lang w:val="en-US"/>
        </w:rPr>
        <w:t xml:space="preserve"> includes more data on Commonwealth education systems. This is available at https://www.keithlewin.net/downloads</w:t>
      </w:r>
      <w:r w:rsidRPr="00664868">
        <w:t xml:space="preserve"> </w:t>
      </w:r>
    </w:p>
  </w:footnote>
  <w:footnote w:id="3">
    <w:p w14:paraId="66D85DD9" w14:textId="77777777" w:rsidR="0072461C" w:rsidRPr="00A0075F" w:rsidRDefault="0072461C" w:rsidP="00A0075F">
      <w:pPr>
        <w:jc w:val="both"/>
        <w:rPr>
          <w:rFonts w:ascii="Trebuchet MS" w:hAnsi="Trebuchet MS"/>
          <w:color w:val="000000" w:themeColor="text1"/>
          <w:sz w:val="20"/>
          <w:szCs w:val="20"/>
        </w:rPr>
      </w:pPr>
      <w:r w:rsidRPr="00A0075F">
        <w:rPr>
          <w:rStyle w:val="FootnoteReference"/>
          <w:sz w:val="20"/>
          <w:szCs w:val="20"/>
        </w:rPr>
        <w:footnoteRef/>
      </w:r>
      <w:r w:rsidRPr="00A0075F">
        <w:rPr>
          <w:sz w:val="20"/>
          <w:szCs w:val="20"/>
        </w:rPr>
        <w:t xml:space="preserve"> </w:t>
      </w:r>
      <w:r w:rsidRPr="00A0075F">
        <w:rPr>
          <w:rFonts w:ascii="Trebuchet MS" w:hAnsi="Trebuchet MS"/>
          <w:color w:val="000000" w:themeColor="text1"/>
          <w:sz w:val="20"/>
          <w:szCs w:val="20"/>
        </w:rPr>
        <w:t>The Dakar Goals and Targets are available at:</w:t>
      </w:r>
    </w:p>
    <w:p w14:paraId="41100FE1" w14:textId="18F142B3" w:rsidR="0072461C" w:rsidRPr="00A0075F" w:rsidRDefault="00012319" w:rsidP="00A0075F">
      <w:pPr>
        <w:rPr>
          <w:rFonts w:eastAsia="Times New Roman"/>
          <w:sz w:val="20"/>
          <w:szCs w:val="20"/>
        </w:rPr>
      </w:pPr>
      <w:hyperlink r:id="rId1" w:history="1">
        <w:r w:rsidR="0072461C" w:rsidRPr="00A0075F">
          <w:rPr>
            <w:rStyle w:val="Hyperlink"/>
            <w:sz w:val="20"/>
            <w:szCs w:val="20"/>
          </w:rPr>
          <w:t>https://sustainabledevelopment.un.org/content/documents/1681Dakar%20Framework%20for%20Action.pdf</w:t>
        </w:r>
      </w:hyperlink>
    </w:p>
  </w:footnote>
  <w:footnote w:id="4">
    <w:p w14:paraId="3AB9C906" w14:textId="77777777" w:rsidR="0072461C" w:rsidRPr="00A0075F" w:rsidRDefault="0072461C" w:rsidP="00A0075F">
      <w:pPr>
        <w:jc w:val="both"/>
        <w:rPr>
          <w:rFonts w:ascii="Times New Roman" w:hAnsi="Times New Roman"/>
          <w:sz w:val="20"/>
          <w:szCs w:val="20"/>
        </w:rPr>
      </w:pPr>
      <w:r w:rsidRPr="00A0075F">
        <w:rPr>
          <w:rStyle w:val="FootnoteReference"/>
          <w:sz w:val="20"/>
          <w:szCs w:val="20"/>
        </w:rPr>
        <w:footnoteRef/>
      </w:r>
      <w:r w:rsidRPr="00A0075F">
        <w:rPr>
          <w:sz w:val="20"/>
          <w:szCs w:val="20"/>
        </w:rPr>
        <w:t xml:space="preserve"> </w:t>
      </w:r>
      <w:r w:rsidRPr="00A0075F">
        <w:rPr>
          <w:rFonts w:ascii="Times New Roman" w:hAnsi="Times New Roman"/>
          <w:sz w:val="20"/>
          <w:szCs w:val="20"/>
        </w:rPr>
        <w:t xml:space="preserve">The Millennium Development Goals are available at: </w:t>
      </w:r>
    </w:p>
    <w:p w14:paraId="0461B669" w14:textId="77777777" w:rsidR="0072461C" w:rsidRPr="00A0075F" w:rsidRDefault="00012319" w:rsidP="00A0075F">
      <w:pPr>
        <w:rPr>
          <w:rFonts w:eastAsia="Times New Roman"/>
          <w:sz w:val="20"/>
          <w:szCs w:val="20"/>
        </w:rPr>
      </w:pPr>
      <w:hyperlink r:id="rId2" w:history="1">
        <w:r w:rsidR="0072461C" w:rsidRPr="00A0075F">
          <w:rPr>
            <w:rStyle w:val="Hyperlink"/>
            <w:sz w:val="20"/>
            <w:szCs w:val="20"/>
          </w:rPr>
          <w:t>https://www.un.org/millenniumgoals/</w:t>
        </w:r>
      </w:hyperlink>
    </w:p>
    <w:p w14:paraId="67BD094A" w14:textId="40348AB3" w:rsidR="0072461C" w:rsidRPr="00A0075F" w:rsidRDefault="0072461C">
      <w:pPr>
        <w:pStyle w:val="FootnoteText"/>
        <w:rPr>
          <w:lang w:val="en-US"/>
        </w:rPr>
      </w:pPr>
    </w:p>
  </w:footnote>
  <w:footnote w:id="5">
    <w:p w14:paraId="30923B3F" w14:textId="77777777" w:rsidR="0072461C" w:rsidRPr="00B305CA" w:rsidRDefault="0072461C" w:rsidP="00B305CA">
      <w:pPr>
        <w:rPr>
          <w:sz w:val="20"/>
          <w:szCs w:val="20"/>
          <w:lang w:val="en-US"/>
        </w:rPr>
      </w:pPr>
      <w:r w:rsidRPr="00B305CA">
        <w:rPr>
          <w:rStyle w:val="FootnoteReference"/>
          <w:sz w:val="20"/>
          <w:szCs w:val="20"/>
        </w:rPr>
        <w:footnoteRef/>
      </w:r>
      <w:r w:rsidRPr="00B305CA">
        <w:rPr>
          <w:sz w:val="20"/>
          <w:szCs w:val="20"/>
        </w:rPr>
        <w:t xml:space="preserve"> </w:t>
      </w:r>
      <w:r w:rsidRPr="00B305CA">
        <w:rPr>
          <w:rStyle w:val="FootnoteReference"/>
          <w:sz w:val="20"/>
          <w:szCs w:val="20"/>
        </w:rPr>
        <w:footnoteRef/>
      </w:r>
      <w:r w:rsidRPr="00B305CA">
        <w:rPr>
          <w:sz w:val="20"/>
          <w:szCs w:val="20"/>
        </w:rPr>
        <w:t xml:space="preserve">  </w:t>
      </w:r>
      <w:r w:rsidRPr="00B305CA">
        <w:rPr>
          <w:sz w:val="20"/>
          <w:szCs w:val="20"/>
          <w:lang w:val="en-US"/>
        </w:rPr>
        <w:t xml:space="preserve">Attributed to Harold MacMillan probably apocryphally. MacMillan was UK Prime Minister when the first Commonwealth Minsters Conference took place sixty years ago in 1959 in Oxford.    </w:t>
      </w:r>
    </w:p>
    <w:p w14:paraId="46E725E9" w14:textId="7DD4D96F" w:rsidR="0072461C" w:rsidRPr="00B305CA" w:rsidRDefault="0072461C">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5E0"/>
    <w:multiLevelType w:val="multilevel"/>
    <w:tmpl w:val="325443B8"/>
    <w:lvl w:ilvl="0">
      <w:start w:val="1"/>
      <w:numFmt w:val="decimal"/>
      <w:lvlText w:val="%1."/>
      <w:lvlJc w:val="left"/>
      <w:pPr>
        <w:ind w:left="720" w:hanging="360"/>
      </w:pPr>
      <w:rPr>
        <w:rFonts w:hint="default"/>
      </w:rPr>
    </w:lvl>
    <w:lvl w:ilvl="1">
      <w:start w:val="4"/>
      <w:numFmt w:val="decimal"/>
      <w:isLgl/>
      <w:lvlText w:val="%1.%2"/>
      <w:lvlJc w:val="left"/>
      <w:pPr>
        <w:ind w:left="1000" w:hanging="6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9638D3"/>
    <w:multiLevelType w:val="hybridMultilevel"/>
    <w:tmpl w:val="6F9E60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25813"/>
    <w:multiLevelType w:val="hybridMultilevel"/>
    <w:tmpl w:val="0DF0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0404D"/>
    <w:multiLevelType w:val="hybridMultilevel"/>
    <w:tmpl w:val="3B0E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240C6"/>
    <w:multiLevelType w:val="hybridMultilevel"/>
    <w:tmpl w:val="8094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C3DC1"/>
    <w:multiLevelType w:val="hybridMultilevel"/>
    <w:tmpl w:val="C0D4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073513"/>
    <w:multiLevelType w:val="hybridMultilevel"/>
    <w:tmpl w:val="901A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067E3"/>
    <w:multiLevelType w:val="hybridMultilevel"/>
    <w:tmpl w:val="710C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B96B33"/>
    <w:multiLevelType w:val="hybridMultilevel"/>
    <w:tmpl w:val="C7106D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E1F24"/>
    <w:multiLevelType w:val="hybridMultilevel"/>
    <w:tmpl w:val="BFF6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1"/>
  </w:num>
  <w:num w:numId="6">
    <w:abstractNumId w:val="5"/>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31"/>
    <w:rsid w:val="0000722E"/>
    <w:rsid w:val="00012319"/>
    <w:rsid w:val="00030184"/>
    <w:rsid w:val="0005279B"/>
    <w:rsid w:val="00057F96"/>
    <w:rsid w:val="0006185A"/>
    <w:rsid w:val="00070E6D"/>
    <w:rsid w:val="0007750D"/>
    <w:rsid w:val="000A08AA"/>
    <w:rsid w:val="000B1514"/>
    <w:rsid w:val="000C3163"/>
    <w:rsid w:val="000C4004"/>
    <w:rsid w:val="000E4E16"/>
    <w:rsid w:val="000F2827"/>
    <w:rsid w:val="00100389"/>
    <w:rsid w:val="00115517"/>
    <w:rsid w:val="00124BE2"/>
    <w:rsid w:val="001344C9"/>
    <w:rsid w:val="00156F15"/>
    <w:rsid w:val="00171013"/>
    <w:rsid w:val="00173734"/>
    <w:rsid w:val="001959D8"/>
    <w:rsid w:val="001B227B"/>
    <w:rsid w:val="001D4BC5"/>
    <w:rsid w:val="001E5A5C"/>
    <w:rsid w:val="001F477A"/>
    <w:rsid w:val="0021526A"/>
    <w:rsid w:val="00243779"/>
    <w:rsid w:val="00244699"/>
    <w:rsid w:val="00264F3F"/>
    <w:rsid w:val="00284CFB"/>
    <w:rsid w:val="00295D9B"/>
    <w:rsid w:val="002B308C"/>
    <w:rsid w:val="002C45B8"/>
    <w:rsid w:val="002E30CE"/>
    <w:rsid w:val="002F64F0"/>
    <w:rsid w:val="00315429"/>
    <w:rsid w:val="00327646"/>
    <w:rsid w:val="00332A79"/>
    <w:rsid w:val="00346D3D"/>
    <w:rsid w:val="00347888"/>
    <w:rsid w:val="00351B1E"/>
    <w:rsid w:val="00362C31"/>
    <w:rsid w:val="00363A26"/>
    <w:rsid w:val="00384397"/>
    <w:rsid w:val="00385927"/>
    <w:rsid w:val="003862B1"/>
    <w:rsid w:val="003B64A8"/>
    <w:rsid w:val="003C5527"/>
    <w:rsid w:val="003D6CC1"/>
    <w:rsid w:val="003E24DD"/>
    <w:rsid w:val="00420CB8"/>
    <w:rsid w:val="00422E19"/>
    <w:rsid w:val="00426F45"/>
    <w:rsid w:val="004337AA"/>
    <w:rsid w:val="00434ABD"/>
    <w:rsid w:val="0044267C"/>
    <w:rsid w:val="004443AF"/>
    <w:rsid w:val="00452058"/>
    <w:rsid w:val="00454814"/>
    <w:rsid w:val="00466162"/>
    <w:rsid w:val="00483F86"/>
    <w:rsid w:val="00491884"/>
    <w:rsid w:val="00492AB8"/>
    <w:rsid w:val="004E0619"/>
    <w:rsid w:val="004E6C5F"/>
    <w:rsid w:val="004F0081"/>
    <w:rsid w:val="004F3A70"/>
    <w:rsid w:val="004F41EC"/>
    <w:rsid w:val="00500157"/>
    <w:rsid w:val="00501314"/>
    <w:rsid w:val="00517D11"/>
    <w:rsid w:val="00553F35"/>
    <w:rsid w:val="005564C9"/>
    <w:rsid w:val="00562A20"/>
    <w:rsid w:val="00581431"/>
    <w:rsid w:val="005B6320"/>
    <w:rsid w:val="005B7101"/>
    <w:rsid w:val="005C7737"/>
    <w:rsid w:val="00607BD6"/>
    <w:rsid w:val="0061687B"/>
    <w:rsid w:val="006209F5"/>
    <w:rsid w:val="00642319"/>
    <w:rsid w:val="00643BEF"/>
    <w:rsid w:val="0065360B"/>
    <w:rsid w:val="0065674A"/>
    <w:rsid w:val="006608CB"/>
    <w:rsid w:val="006639D0"/>
    <w:rsid w:val="00664868"/>
    <w:rsid w:val="006710DA"/>
    <w:rsid w:val="00682F22"/>
    <w:rsid w:val="0069339D"/>
    <w:rsid w:val="006A323E"/>
    <w:rsid w:val="006E431E"/>
    <w:rsid w:val="0072461C"/>
    <w:rsid w:val="00727244"/>
    <w:rsid w:val="00731AAF"/>
    <w:rsid w:val="00745DDF"/>
    <w:rsid w:val="00746587"/>
    <w:rsid w:val="00765097"/>
    <w:rsid w:val="00770568"/>
    <w:rsid w:val="007845F7"/>
    <w:rsid w:val="007A39E9"/>
    <w:rsid w:val="007B48BF"/>
    <w:rsid w:val="007C0468"/>
    <w:rsid w:val="007C59BA"/>
    <w:rsid w:val="007E70E9"/>
    <w:rsid w:val="00822A8E"/>
    <w:rsid w:val="00860A74"/>
    <w:rsid w:val="00860B7C"/>
    <w:rsid w:val="00885FBE"/>
    <w:rsid w:val="008946F5"/>
    <w:rsid w:val="008A6F8D"/>
    <w:rsid w:val="008C2991"/>
    <w:rsid w:val="008D5E07"/>
    <w:rsid w:val="009150E3"/>
    <w:rsid w:val="009158B6"/>
    <w:rsid w:val="00942C06"/>
    <w:rsid w:val="0097260F"/>
    <w:rsid w:val="009A40A6"/>
    <w:rsid w:val="009B2819"/>
    <w:rsid w:val="00A0075F"/>
    <w:rsid w:val="00A04727"/>
    <w:rsid w:val="00A1295B"/>
    <w:rsid w:val="00A3703F"/>
    <w:rsid w:val="00A379AC"/>
    <w:rsid w:val="00A42C10"/>
    <w:rsid w:val="00A43868"/>
    <w:rsid w:val="00A95803"/>
    <w:rsid w:val="00A9662A"/>
    <w:rsid w:val="00AA0253"/>
    <w:rsid w:val="00AB0C88"/>
    <w:rsid w:val="00AB64B4"/>
    <w:rsid w:val="00AB7E81"/>
    <w:rsid w:val="00AD5780"/>
    <w:rsid w:val="00AD5DAC"/>
    <w:rsid w:val="00AD743C"/>
    <w:rsid w:val="00AF47C4"/>
    <w:rsid w:val="00B02578"/>
    <w:rsid w:val="00B11D69"/>
    <w:rsid w:val="00B15736"/>
    <w:rsid w:val="00B2740C"/>
    <w:rsid w:val="00B305CA"/>
    <w:rsid w:val="00B55089"/>
    <w:rsid w:val="00B62364"/>
    <w:rsid w:val="00B75305"/>
    <w:rsid w:val="00B756F9"/>
    <w:rsid w:val="00B809EA"/>
    <w:rsid w:val="00B85D02"/>
    <w:rsid w:val="00BC0A9A"/>
    <w:rsid w:val="00BC2955"/>
    <w:rsid w:val="00BF2124"/>
    <w:rsid w:val="00C01019"/>
    <w:rsid w:val="00C0238F"/>
    <w:rsid w:val="00C13795"/>
    <w:rsid w:val="00C203AE"/>
    <w:rsid w:val="00C67770"/>
    <w:rsid w:val="00C808DE"/>
    <w:rsid w:val="00CE0614"/>
    <w:rsid w:val="00CE716E"/>
    <w:rsid w:val="00CF77A3"/>
    <w:rsid w:val="00D4141F"/>
    <w:rsid w:val="00D54ACB"/>
    <w:rsid w:val="00D55142"/>
    <w:rsid w:val="00D76C9A"/>
    <w:rsid w:val="00D92C0D"/>
    <w:rsid w:val="00D93974"/>
    <w:rsid w:val="00DB5EF4"/>
    <w:rsid w:val="00DC61AE"/>
    <w:rsid w:val="00DF28C9"/>
    <w:rsid w:val="00E02709"/>
    <w:rsid w:val="00E030EC"/>
    <w:rsid w:val="00E0679D"/>
    <w:rsid w:val="00E30E59"/>
    <w:rsid w:val="00E341FB"/>
    <w:rsid w:val="00E520A5"/>
    <w:rsid w:val="00E95C56"/>
    <w:rsid w:val="00EA5659"/>
    <w:rsid w:val="00EB29DF"/>
    <w:rsid w:val="00EB34B8"/>
    <w:rsid w:val="00EC08CD"/>
    <w:rsid w:val="00EC632A"/>
    <w:rsid w:val="00EE008B"/>
    <w:rsid w:val="00EF5586"/>
    <w:rsid w:val="00F17E84"/>
    <w:rsid w:val="00F228C9"/>
    <w:rsid w:val="00F42A09"/>
    <w:rsid w:val="00F50C11"/>
    <w:rsid w:val="00F527F7"/>
    <w:rsid w:val="00F6502A"/>
    <w:rsid w:val="00F86DB5"/>
    <w:rsid w:val="00F921B8"/>
    <w:rsid w:val="00FA44E3"/>
    <w:rsid w:val="00FD7064"/>
    <w:rsid w:val="00FE75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4741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31"/>
    <w:pPr>
      <w:widowControl w:val="0"/>
    </w:pPr>
    <w:rPr>
      <w:rFonts w:ascii="Calibri" w:eastAsia="Calibri" w:hAnsi="Calibri" w:cs="Times New Roman"/>
      <w:sz w:val="22"/>
      <w:szCs w:val="22"/>
    </w:rPr>
  </w:style>
  <w:style w:type="paragraph" w:styleId="Heading1">
    <w:name w:val="heading 1"/>
    <w:basedOn w:val="Normal"/>
    <w:next w:val="Normal"/>
    <w:link w:val="Heading1Char"/>
    <w:uiPriority w:val="9"/>
    <w:qFormat/>
    <w:rsid w:val="00581431"/>
    <w:pPr>
      <w:keepNext/>
      <w:spacing w:before="240" w:after="240"/>
      <w:outlineLvl w:val="0"/>
    </w:pPr>
    <w:rPr>
      <w:rFonts w:eastAsia="Times New Roman"/>
      <w:b/>
      <w:bCs/>
      <w:kern w:val="32"/>
      <w:sz w:val="24"/>
      <w:szCs w:val="32"/>
      <w:lang w:val="x-none"/>
    </w:rPr>
  </w:style>
  <w:style w:type="paragraph" w:styleId="Heading2">
    <w:name w:val="heading 2"/>
    <w:basedOn w:val="Normal"/>
    <w:next w:val="Normal"/>
    <w:link w:val="Heading2Char"/>
    <w:uiPriority w:val="9"/>
    <w:unhideWhenUsed/>
    <w:qFormat/>
    <w:rsid w:val="00581431"/>
    <w:pPr>
      <w:keepNext/>
      <w:keepLines/>
      <w:widowControl/>
      <w:spacing w:before="200" w:line="288"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1431"/>
    <w:pPr>
      <w:keepNext/>
      <w:keepLines/>
      <w:widowControl/>
      <w:spacing w:before="200" w:line="288" w:lineRule="auto"/>
      <w:outlineLvl w:val="2"/>
    </w:pPr>
    <w:rPr>
      <w:rFonts w:asciiTheme="majorHAnsi" w:eastAsiaTheme="majorEastAsia" w:hAnsiTheme="majorHAnsi" w:cstheme="majorBidi"/>
      <w:b/>
      <w:bCs/>
      <w:color w:val="4F81BD" w:themeColor="accent1"/>
      <w:sz w:val="21"/>
      <w:szCs w:val="21"/>
    </w:rPr>
  </w:style>
  <w:style w:type="paragraph" w:styleId="Heading4">
    <w:name w:val="heading 4"/>
    <w:basedOn w:val="Normal"/>
    <w:next w:val="Normal"/>
    <w:link w:val="Heading4Char"/>
    <w:uiPriority w:val="9"/>
    <w:unhideWhenUsed/>
    <w:qFormat/>
    <w:rsid w:val="00581431"/>
    <w:pPr>
      <w:keepNext/>
      <w:keepLines/>
      <w:widowControl/>
      <w:spacing w:before="200" w:line="288" w:lineRule="auto"/>
      <w:outlineLvl w:val="3"/>
    </w:pPr>
    <w:rPr>
      <w:rFonts w:asciiTheme="majorHAnsi" w:eastAsiaTheme="majorEastAsia" w:hAnsiTheme="majorHAnsi" w:cstheme="majorBidi"/>
      <w:b/>
      <w:bCs/>
      <w:i/>
      <w:iCs/>
      <w:color w:val="4F81BD"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431"/>
    <w:rPr>
      <w:rFonts w:ascii="Calibri" w:eastAsia="Times New Roman" w:hAnsi="Calibri" w:cs="Times New Roman"/>
      <w:b/>
      <w:bCs/>
      <w:kern w:val="32"/>
      <w:szCs w:val="32"/>
      <w:lang w:val="x-none"/>
    </w:rPr>
  </w:style>
  <w:style w:type="character" w:customStyle="1" w:styleId="Heading2Char">
    <w:name w:val="Heading 2 Char"/>
    <w:basedOn w:val="DefaultParagraphFont"/>
    <w:link w:val="Heading2"/>
    <w:uiPriority w:val="9"/>
    <w:rsid w:val="00581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1431"/>
    <w:rPr>
      <w:rFonts w:asciiTheme="majorHAnsi" w:eastAsiaTheme="majorEastAsia" w:hAnsiTheme="majorHAnsi" w:cstheme="majorBidi"/>
      <w:b/>
      <w:bCs/>
      <w:color w:val="4F81BD" w:themeColor="accent1"/>
      <w:sz w:val="21"/>
      <w:szCs w:val="21"/>
    </w:rPr>
  </w:style>
  <w:style w:type="character" w:customStyle="1" w:styleId="Heading4Char">
    <w:name w:val="Heading 4 Char"/>
    <w:basedOn w:val="DefaultParagraphFont"/>
    <w:link w:val="Heading4"/>
    <w:uiPriority w:val="9"/>
    <w:rsid w:val="00581431"/>
    <w:rPr>
      <w:rFonts w:asciiTheme="majorHAnsi" w:eastAsiaTheme="majorEastAsia" w:hAnsiTheme="majorHAnsi" w:cstheme="majorBidi"/>
      <w:b/>
      <w:bCs/>
      <w:i/>
      <w:iCs/>
      <w:color w:val="4F81BD" w:themeColor="accent1"/>
      <w:sz w:val="21"/>
      <w:szCs w:val="21"/>
    </w:rPr>
  </w:style>
  <w:style w:type="paragraph" w:styleId="BalloonText">
    <w:name w:val="Balloon Text"/>
    <w:basedOn w:val="Normal"/>
    <w:link w:val="BalloonTextChar"/>
    <w:uiPriority w:val="99"/>
    <w:semiHidden/>
    <w:unhideWhenUsed/>
    <w:rsid w:val="005814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431"/>
    <w:rPr>
      <w:rFonts w:ascii="Lucida Grande" w:eastAsia="Calibri" w:hAnsi="Lucida Grande" w:cs="Lucida Grande"/>
      <w:sz w:val="18"/>
      <w:szCs w:val="18"/>
    </w:rPr>
  </w:style>
  <w:style w:type="paragraph" w:styleId="ListParagraph">
    <w:name w:val="List Paragraph"/>
    <w:aliases w:val="References,Paragraphe  revu,Paragraphe de liste1,Bullets,List Paragraph1,Ha,Figures,List Paragraph (numbered (a)),lp1,lp11,List Paragraph11,Bullet 1,Use Case List Paragraph,Bulletted,Bullet List,FooterText,numbered,WB List Paragraph"/>
    <w:basedOn w:val="Normal"/>
    <w:link w:val="ListParagraphChar"/>
    <w:uiPriority w:val="34"/>
    <w:qFormat/>
    <w:rsid w:val="00581431"/>
    <w:pPr>
      <w:ind w:left="720"/>
      <w:contextualSpacing/>
    </w:pPr>
  </w:style>
  <w:style w:type="character" w:customStyle="1" w:styleId="ListParagraphChar">
    <w:name w:val="List Paragraph Char"/>
    <w:aliases w:val="References Char,Paragraphe  revu Char,Paragraphe de liste1 Char,Bullets Char,List Paragraph1 Char,Ha Char,Figures Char,List Paragraph (numbered (a)) Char,lp1 Char,lp11 Char,List Paragraph11 Char,Bullet 1 Char,Bulletted Char"/>
    <w:link w:val="ListParagraph"/>
    <w:uiPriority w:val="34"/>
    <w:locked/>
    <w:rsid w:val="00581431"/>
    <w:rPr>
      <w:rFonts w:ascii="Calibri" w:eastAsia="Calibri" w:hAnsi="Calibri" w:cs="Times New Roman"/>
      <w:sz w:val="22"/>
      <w:szCs w:val="22"/>
    </w:rPr>
  </w:style>
  <w:style w:type="paragraph" w:styleId="FootnoteText">
    <w:name w:val="footnote text"/>
    <w:basedOn w:val="Normal"/>
    <w:link w:val="FootnoteTextChar"/>
    <w:uiPriority w:val="99"/>
    <w:unhideWhenUsed/>
    <w:rsid w:val="00581431"/>
    <w:rPr>
      <w:sz w:val="24"/>
      <w:szCs w:val="24"/>
    </w:rPr>
  </w:style>
  <w:style w:type="character" w:customStyle="1" w:styleId="FootnoteTextChar">
    <w:name w:val="Footnote Text Char"/>
    <w:basedOn w:val="DefaultParagraphFont"/>
    <w:link w:val="FootnoteText"/>
    <w:uiPriority w:val="99"/>
    <w:rsid w:val="00581431"/>
    <w:rPr>
      <w:rFonts w:ascii="Calibri" w:eastAsia="Calibri" w:hAnsi="Calibri" w:cs="Times New Roman"/>
    </w:rPr>
  </w:style>
  <w:style w:type="character" w:styleId="FootnoteReference">
    <w:name w:val="footnote reference"/>
    <w:aliases w:val="ftref"/>
    <w:basedOn w:val="DefaultParagraphFont"/>
    <w:uiPriority w:val="99"/>
    <w:unhideWhenUsed/>
    <w:rsid w:val="00581431"/>
    <w:rPr>
      <w:vertAlign w:val="superscript"/>
    </w:rPr>
  </w:style>
  <w:style w:type="paragraph" w:styleId="Footer">
    <w:name w:val="footer"/>
    <w:basedOn w:val="Normal"/>
    <w:link w:val="FooterChar"/>
    <w:uiPriority w:val="99"/>
    <w:unhideWhenUsed/>
    <w:rsid w:val="00581431"/>
    <w:pPr>
      <w:tabs>
        <w:tab w:val="center" w:pos="4320"/>
        <w:tab w:val="right" w:pos="8640"/>
      </w:tabs>
    </w:pPr>
  </w:style>
  <w:style w:type="character" w:customStyle="1" w:styleId="FooterChar">
    <w:name w:val="Footer Char"/>
    <w:basedOn w:val="DefaultParagraphFont"/>
    <w:link w:val="Footer"/>
    <w:uiPriority w:val="99"/>
    <w:rsid w:val="00581431"/>
    <w:rPr>
      <w:rFonts w:ascii="Calibri" w:eastAsia="Calibri" w:hAnsi="Calibri" w:cs="Times New Roman"/>
      <w:sz w:val="22"/>
      <w:szCs w:val="22"/>
    </w:rPr>
  </w:style>
  <w:style w:type="character" w:styleId="PageNumber">
    <w:name w:val="page number"/>
    <w:basedOn w:val="DefaultParagraphFont"/>
    <w:uiPriority w:val="99"/>
    <w:semiHidden/>
    <w:unhideWhenUsed/>
    <w:rsid w:val="00581431"/>
  </w:style>
  <w:style w:type="paragraph" w:styleId="Header">
    <w:name w:val="header"/>
    <w:basedOn w:val="Normal"/>
    <w:link w:val="HeaderChar"/>
    <w:uiPriority w:val="99"/>
    <w:unhideWhenUsed/>
    <w:rsid w:val="00581431"/>
    <w:pPr>
      <w:widowControl/>
      <w:tabs>
        <w:tab w:val="center" w:pos="4680"/>
        <w:tab w:val="right" w:pos="9360"/>
      </w:tabs>
    </w:pPr>
    <w:rPr>
      <w:rFonts w:asciiTheme="minorHAnsi" w:eastAsiaTheme="minorEastAsia" w:hAnsiTheme="minorHAnsi" w:cstheme="minorBidi"/>
      <w:sz w:val="21"/>
      <w:szCs w:val="21"/>
    </w:rPr>
  </w:style>
  <w:style w:type="character" w:customStyle="1" w:styleId="HeaderChar">
    <w:name w:val="Header Char"/>
    <w:basedOn w:val="DefaultParagraphFont"/>
    <w:link w:val="Header"/>
    <w:uiPriority w:val="99"/>
    <w:rsid w:val="00581431"/>
    <w:rPr>
      <w:sz w:val="21"/>
      <w:szCs w:val="21"/>
    </w:rPr>
  </w:style>
  <w:style w:type="character" w:styleId="Hyperlink">
    <w:name w:val="Hyperlink"/>
    <w:basedOn w:val="DefaultParagraphFont"/>
    <w:uiPriority w:val="99"/>
    <w:unhideWhenUsed/>
    <w:rsid w:val="00581431"/>
    <w:rPr>
      <w:color w:val="0000FF" w:themeColor="hyperlink"/>
      <w:u w:val="single"/>
    </w:rPr>
  </w:style>
  <w:style w:type="character" w:styleId="CommentReference">
    <w:name w:val="annotation reference"/>
    <w:basedOn w:val="DefaultParagraphFont"/>
    <w:uiPriority w:val="99"/>
    <w:semiHidden/>
    <w:unhideWhenUsed/>
    <w:rsid w:val="00581431"/>
    <w:rPr>
      <w:sz w:val="16"/>
      <w:szCs w:val="16"/>
    </w:rPr>
  </w:style>
  <w:style w:type="paragraph" w:styleId="CommentText">
    <w:name w:val="annotation text"/>
    <w:basedOn w:val="Normal"/>
    <w:link w:val="CommentTextChar"/>
    <w:uiPriority w:val="99"/>
    <w:semiHidden/>
    <w:unhideWhenUsed/>
    <w:rsid w:val="00581431"/>
    <w:pPr>
      <w:widowControl/>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581431"/>
    <w:rPr>
      <w:sz w:val="20"/>
      <w:szCs w:val="20"/>
    </w:rPr>
  </w:style>
  <w:style w:type="character" w:customStyle="1" w:styleId="CommentSubjectChar">
    <w:name w:val="Comment Subject Char"/>
    <w:basedOn w:val="CommentTextChar"/>
    <w:link w:val="CommentSubject"/>
    <w:uiPriority w:val="99"/>
    <w:semiHidden/>
    <w:rsid w:val="00581431"/>
    <w:rPr>
      <w:b/>
      <w:bCs/>
      <w:sz w:val="20"/>
      <w:szCs w:val="20"/>
    </w:rPr>
  </w:style>
  <w:style w:type="paragraph" w:styleId="CommentSubject">
    <w:name w:val="annotation subject"/>
    <w:basedOn w:val="CommentText"/>
    <w:next w:val="CommentText"/>
    <w:link w:val="CommentSubjectChar"/>
    <w:uiPriority w:val="99"/>
    <w:semiHidden/>
    <w:unhideWhenUsed/>
    <w:rsid w:val="00581431"/>
    <w:rPr>
      <w:b/>
      <w:bCs/>
    </w:rPr>
  </w:style>
  <w:style w:type="paragraph" w:styleId="TOC1">
    <w:name w:val="toc 1"/>
    <w:basedOn w:val="Normal"/>
    <w:next w:val="Normal"/>
    <w:autoRedefine/>
    <w:uiPriority w:val="39"/>
    <w:unhideWhenUsed/>
    <w:rsid w:val="00581431"/>
    <w:pPr>
      <w:widowControl/>
      <w:tabs>
        <w:tab w:val="right" w:leader="dot" w:pos="9010"/>
      </w:tabs>
      <w:spacing w:before="40" w:after="40"/>
    </w:pPr>
    <w:rPr>
      <w:rFonts w:asciiTheme="minorHAnsi" w:eastAsiaTheme="minorEastAsia" w:hAnsiTheme="minorHAnsi" w:cstheme="minorBidi"/>
      <w:b/>
      <w:sz w:val="24"/>
      <w:szCs w:val="24"/>
    </w:rPr>
  </w:style>
  <w:style w:type="paragraph" w:styleId="TOC2">
    <w:name w:val="toc 2"/>
    <w:basedOn w:val="Normal"/>
    <w:next w:val="Normal"/>
    <w:autoRedefine/>
    <w:uiPriority w:val="39"/>
    <w:unhideWhenUsed/>
    <w:rsid w:val="00581431"/>
    <w:pPr>
      <w:widowControl/>
    </w:pPr>
    <w:rPr>
      <w:rFonts w:asciiTheme="minorHAnsi" w:eastAsiaTheme="minorEastAsia" w:hAnsiTheme="minorHAnsi" w:cstheme="minorBidi"/>
      <w:b/>
    </w:rPr>
  </w:style>
  <w:style w:type="paragraph" w:styleId="TOC3">
    <w:name w:val="toc 3"/>
    <w:basedOn w:val="Normal"/>
    <w:next w:val="Normal"/>
    <w:autoRedefine/>
    <w:uiPriority w:val="39"/>
    <w:unhideWhenUsed/>
    <w:rsid w:val="00581431"/>
    <w:pPr>
      <w:widowControl/>
      <w:spacing w:line="288" w:lineRule="auto"/>
      <w:ind w:left="420"/>
    </w:pPr>
    <w:rPr>
      <w:rFonts w:asciiTheme="minorHAnsi" w:eastAsiaTheme="minorEastAsia" w:hAnsiTheme="minorHAnsi" w:cstheme="minorBidi"/>
    </w:rPr>
  </w:style>
  <w:style w:type="paragraph" w:styleId="TOC4">
    <w:name w:val="toc 4"/>
    <w:basedOn w:val="Normal"/>
    <w:next w:val="Normal"/>
    <w:autoRedefine/>
    <w:uiPriority w:val="39"/>
    <w:unhideWhenUsed/>
    <w:rsid w:val="00581431"/>
    <w:pPr>
      <w:widowControl/>
      <w:spacing w:line="288" w:lineRule="auto"/>
      <w:ind w:left="630"/>
    </w:pPr>
    <w:rPr>
      <w:rFonts w:asciiTheme="minorHAnsi" w:eastAsiaTheme="minorEastAsia" w:hAnsiTheme="minorHAnsi" w:cstheme="minorBidi"/>
      <w:sz w:val="20"/>
      <w:szCs w:val="20"/>
    </w:rPr>
  </w:style>
  <w:style w:type="paragraph" w:styleId="TOC5">
    <w:name w:val="toc 5"/>
    <w:basedOn w:val="Normal"/>
    <w:next w:val="Normal"/>
    <w:autoRedefine/>
    <w:uiPriority w:val="39"/>
    <w:unhideWhenUsed/>
    <w:rsid w:val="00581431"/>
    <w:pPr>
      <w:widowControl/>
      <w:spacing w:line="288" w:lineRule="auto"/>
      <w:ind w:left="840"/>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581431"/>
    <w:pPr>
      <w:widowControl/>
      <w:spacing w:line="288" w:lineRule="auto"/>
      <w:ind w:left="1050"/>
    </w:pPr>
    <w:rPr>
      <w:rFonts w:asciiTheme="minorHAnsi" w:eastAsiaTheme="minorEastAsia" w:hAnsiTheme="minorHAnsi" w:cstheme="minorBidi"/>
      <w:sz w:val="20"/>
      <w:szCs w:val="20"/>
    </w:rPr>
  </w:style>
  <w:style w:type="paragraph" w:styleId="TOC7">
    <w:name w:val="toc 7"/>
    <w:basedOn w:val="Normal"/>
    <w:next w:val="Normal"/>
    <w:autoRedefine/>
    <w:uiPriority w:val="39"/>
    <w:unhideWhenUsed/>
    <w:rsid w:val="00581431"/>
    <w:pPr>
      <w:widowControl/>
      <w:spacing w:line="288" w:lineRule="auto"/>
      <w:ind w:left="1260"/>
    </w:pPr>
    <w:rPr>
      <w:rFonts w:asciiTheme="minorHAnsi" w:eastAsiaTheme="minorEastAsia" w:hAnsiTheme="minorHAnsi" w:cstheme="minorBidi"/>
      <w:sz w:val="20"/>
      <w:szCs w:val="20"/>
    </w:rPr>
  </w:style>
  <w:style w:type="paragraph" w:styleId="TOC8">
    <w:name w:val="toc 8"/>
    <w:basedOn w:val="Normal"/>
    <w:next w:val="Normal"/>
    <w:autoRedefine/>
    <w:uiPriority w:val="39"/>
    <w:unhideWhenUsed/>
    <w:rsid w:val="00581431"/>
    <w:pPr>
      <w:widowControl/>
      <w:spacing w:line="288" w:lineRule="auto"/>
      <w:ind w:left="1470"/>
    </w:pPr>
    <w:rPr>
      <w:rFonts w:asciiTheme="minorHAnsi" w:eastAsiaTheme="minorEastAsia" w:hAnsiTheme="minorHAnsi" w:cstheme="minorBidi"/>
      <w:sz w:val="20"/>
      <w:szCs w:val="20"/>
    </w:rPr>
  </w:style>
  <w:style w:type="paragraph" w:styleId="TOC9">
    <w:name w:val="toc 9"/>
    <w:basedOn w:val="Normal"/>
    <w:next w:val="Normal"/>
    <w:autoRedefine/>
    <w:uiPriority w:val="39"/>
    <w:unhideWhenUsed/>
    <w:rsid w:val="00581431"/>
    <w:pPr>
      <w:widowControl/>
      <w:spacing w:line="288" w:lineRule="auto"/>
      <w:ind w:left="1680"/>
    </w:pPr>
    <w:rPr>
      <w:rFonts w:asciiTheme="minorHAnsi" w:eastAsiaTheme="minorEastAsia" w:hAnsiTheme="minorHAnsi" w:cstheme="minorBidi"/>
      <w:sz w:val="20"/>
      <w:szCs w:val="20"/>
    </w:rPr>
  </w:style>
  <w:style w:type="character" w:styleId="Emphasis">
    <w:name w:val="Emphasis"/>
    <w:basedOn w:val="DefaultParagraphFont"/>
    <w:uiPriority w:val="20"/>
    <w:qFormat/>
    <w:rsid w:val="00581431"/>
    <w:rPr>
      <w:i/>
      <w:iCs/>
    </w:rPr>
  </w:style>
  <w:style w:type="paragraph" w:styleId="Caption">
    <w:name w:val="caption"/>
    <w:basedOn w:val="Normal"/>
    <w:next w:val="Normal"/>
    <w:link w:val="CaptionChar"/>
    <w:unhideWhenUsed/>
    <w:qFormat/>
    <w:rsid w:val="00581431"/>
    <w:pPr>
      <w:widowControl/>
      <w:spacing w:after="200"/>
    </w:pPr>
    <w:rPr>
      <w:rFonts w:asciiTheme="minorHAnsi" w:eastAsiaTheme="minorEastAsia" w:hAnsiTheme="minorHAnsi" w:cstheme="minorBidi"/>
      <w:b/>
      <w:bCs/>
      <w:color w:val="4F81BD" w:themeColor="accent1"/>
      <w:sz w:val="18"/>
      <w:szCs w:val="18"/>
    </w:rPr>
  </w:style>
  <w:style w:type="character" w:customStyle="1" w:styleId="CaptionChar">
    <w:name w:val="Caption Char"/>
    <w:link w:val="Caption"/>
    <w:rsid w:val="00581431"/>
    <w:rPr>
      <w:b/>
      <w:bCs/>
      <w:color w:val="4F81BD" w:themeColor="accent1"/>
      <w:sz w:val="18"/>
      <w:szCs w:val="18"/>
    </w:rPr>
  </w:style>
  <w:style w:type="paragraph" w:styleId="TableofFigures">
    <w:name w:val="table of figures"/>
    <w:basedOn w:val="Normal"/>
    <w:next w:val="Normal"/>
    <w:uiPriority w:val="99"/>
    <w:unhideWhenUsed/>
    <w:rsid w:val="00581431"/>
    <w:pPr>
      <w:widowControl/>
      <w:spacing w:line="288" w:lineRule="auto"/>
    </w:pPr>
    <w:rPr>
      <w:rFonts w:asciiTheme="minorHAnsi" w:eastAsiaTheme="minorEastAsia" w:hAnsiTheme="minorHAnsi" w:cstheme="minorBidi"/>
      <w:i/>
      <w:sz w:val="20"/>
      <w:szCs w:val="20"/>
    </w:rPr>
  </w:style>
  <w:style w:type="character" w:customStyle="1" w:styleId="BodyTextChar">
    <w:name w:val="Body Text Char"/>
    <w:basedOn w:val="DefaultParagraphFont"/>
    <w:link w:val="BodyText"/>
    <w:semiHidden/>
    <w:rsid w:val="00581431"/>
    <w:rPr>
      <w:rFonts w:ascii="Times New Roman" w:eastAsia="Times New Roman" w:hAnsi="Times New Roman" w:cs="Courier New"/>
      <w:b/>
      <w:bCs/>
      <w:szCs w:val="20"/>
      <w:lang w:val="en-AU"/>
    </w:rPr>
  </w:style>
  <w:style w:type="paragraph" w:styleId="BodyText">
    <w:name w:val="Body Text"/>
    <w:basedOn w:val="Normal"/>
    <w:link w:val="BodyTextChar"/>
    <w:semiHidden/>
    <w:rsid w:val="00581431"/>
    <w:pPr>
      <w:widowControl/>
    </w:pPr>
    <w:rPr>
      <w:rFonts w:ascii="Times New Roman" w:eastAsia="Times New Roman" w:hAnsi="Times New Roman" w:cs="Courier New"/>
      <w:b/>
      <w:bCs/>
      <w:sz w:val="24"/>
      <w:szCs w:val="20"/>
      <w:lang w:val="en-AU"/>
    </w:rPr>
  </w:style>
  <w:style w:type="character" w:customStyle="1" w:styleId="DocumentMapChar">
    <w:name w:val="Document Map Char"/>
    <w:basedOn w:val="DefaultParagraphFont"/>
    <w:link w:val="DocumentMap"/>
    <w:uiPriority w:val="99"/>
    <w:semiHidden/>
    <w:rsid w:val="00581431"/>
    <w:rPr>
      <w:rFonts w:ascii="Lucida Grande" w:hAnsi="Lucida Grande" w:cs="Lucida Grande"/>
    </w:rPr>
  </w:style>
  <w:style w:type="paragraph" w:styleId="DocumentMap">
    <w:name w:val="Document Map"/>
    <w:basedOn w:val="Normal"/>
    <w:link w:val="DocumentMapChar"/>
    <w:uiPriority w:val="99"/>
    <w:semiHidden/>
    <w:unhideWhenUsed/>
    <w:rsid w:val="00581431"/>
    <w:pPr>
      <w:widowControl/>
    </w:pPr>
    <w:rPr>
      <w:rFonts w:ascii="Lucida Grande" w:eastAsiaTheme="minorEastAsia" w:hAnsi="Lucida Grande" w:cs="Lucida Grande"/>
      <w:sz w:val="24"/>
      <w:szCs w:val="24"/>
    </w:rPr>
  </w:style>
  <w:style w:type="paragraph" w:customStyle="1" w:styleId="Figurehead">
    <w:name w:val="Figure head"/>
    <w:basedOn w:val="Caption"/>
    <w:link w:val="FigureheadChar"/>
    <w:qFormat/>
    <w:rsid w:val="00581431"/>
    <w:pPr>
      <w:spacing w:after="0"/>
    </w:pPr>
    <w:rPr>
      <w:rFonts w:ascii="Trebuchet MS" w:hAnsi="Trebuchet MS" w:cs="Times New Roman"/>
      <w:sz w:val="20"/>
      <w:szCs w:val="20"/>
      <w:lang w:val="en-US"/>
    </w:rPr>
  </w:style>
  <w:style w:type="character" w:customStyle="1" w:styleId="FigureheadChar">
    <w:name w:val="Figure head Char"/>
    <w:basedOn w:val="CaptionChar"/>
    <w:link w:val="Figurehead"/>
    <w:rsid w:val="00581431"/>
    <w:rPr>
      <w:rFonts w:ascii="Trebuchet MS" w:hAnsi="Trebuchet MS" w:cs="Times New Roman"/>
      <w:b/>
      <w:bCs/>
      <w:color w:val="4F81BD" w:themeColor="accent1"/>
      <w:sz w:val="20"/>
      <w:szCs w:val="20"/>
      <w:lang w:val="en-US"/>
    </w:rPr>
  </w:style>
  <w:style w:type="paragraph" w:customStyle="1" w:styleId="Tablehead">
    <w:name w:val="Table head"/>
    <w:basedOn w:val="Figurehead"/>
    <w:link w:val="TableheadChar"/>
    <w:qFormat/>
    <w:rsid w:val="00581431"/>
  </w:style>
  <w:style w:type="character" w:customStyle="1" w:styleId="TableheadChar">
    <w:name w:val="Table head Char"/>
    <w:basedOn w:val="CaptionChar"/>
    <w:link w:val="Tablehead"/>
    <w:rsid w:val="00581431"/>
    <w:rPr>
      <w:rFonts w:ascii="Trebuchet MS" w:hAnsi="Trebuchet MS" w:cs="Times New Roman"/>
      <w:b/>
      <w:bCs/>
      <w:color w:val="4F81BD" w:themeColor="accent1"/>
      <w:sz w:val="20"/>
      <w:szCs w:val="20"/>
      <w:lang w:val="en-US"/>
    </w:rPr>
  </w:style>
  <w:style w:type="paragraph" w:customStyle="1" w:styleId="Default">
    <w:name w:val="Default"/>
    <w:rsid w:val="00115517"/>
    <w:pPr>
      <w:widowControl w:val="0"/>
      <w:autoSpaceDE w:val="0"/>
      <w:autoSpaceDN w:val="0"/>
      <w:adjustRightInd w:val="0"/>
    </w:pPr>
    <w:rPr>
      <w:rFonts w:ascii="Trebuchet MS" w:hAnsi="Trebuchet MS" w:cs="Trebuchet MS"/>
      <w:color w:val="000000"/>
      <w:lang w:val="en-US"/>
    </w:rPr>
  </w:style>
  <w:style w:type="character" w:styleId="FollowedHyperlink">
    <w:name w:val="FollowedHyperlink"/>
    <w:basedOn w:val="DefaultParagraphFont"/>
    <w:uiPriority w:val="99"/>
    <w:semiHidden/>
    <w:unhideWhenUsed/>
    <w:rsid w:val="000C316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31"/>
    <w:pPr>
      <w:widowControl w:val="0"/>
    </w:pPr>
    <w:rPr>
      <w:rFonts w:ascii="Calibri" w:eastAsia="Calibri" w:hAnsi="Calibri" w:cs="Times New Roman"/>
      <w:sz w:val="22"/>
      <w:szCs w:val="22"/>
    </w:rPr>
  </w:style>
  <w:style w:type="paragraph" w:styleId="Heading1">
    <w:name w:val="heading 1"/>
    <w:basedOn w:val="Normal"/>
    <w:next w:val="Normal"/>
    <w:link w:val="Heading1Char"/>
    <w:uiPriority w:val="9"/>
    <w:qFormat/>
    <w:rsid w:val="00581431"/>
    <w:pPr>
      <w:keepNext/>
      <w:spacing w:before="240" w:after="240"/>
      <w:outlineLvl w:val="0"/>
    </w:pPr>
    <w:rPr>
      <w:rFonts w:eastAsia="Times New Roman"/>
      <w:b/>
      <w:bCs/>
      <w:kern w:val="32"/>
      <w:sz w:val="24"/>
      <w:szCs w:val="32"/>
      <w:lang w:val="x-none"/>
    </w:rPr>
  </w:style>
  <w:style w:type="paragraph" w:styleId="Heading2">
    <w:name w:val="heading 2"/>
    <w:basedOn w:val="Normal"/>
    <w:next w:val="Normal"/>
    <w:link w:val="Heading2Char"/>
    <w:uiPriority w:val="9"/>
    <w:unhideWhenUsed/>
    <w:qFormat/>
    <w:rsid w:val="00581431"/>
    <w:pPr>
      <w:keepNext/>
      <w:keepLines/>
      <w:widowControl/>
      <w:spacing w:before="200" w:line="288"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1431"/>
    <w:pPr>
      <w:keepNext/>
      <w:keepLines/>
      <w:widowControl/>
      <w:spacing w:before="200" w:line="288" w:lineRule="auto"/>
      <w:outlineLvl w:val="2"/>
    </w:pPr>
    <w:rPr>
      <w:rFonts w:asciiTheme="majorHAnsi" w:eastAsiaTheme="majorEastAsia" w:hAnsiTheme="majorHAnsi" w:cstheme="majorBidi"/>
      <w:b/>
      <w:bCs/>
      <w:color w:val="4F81BD" w:themeColor="accent1"/>
      <w:sz w:val="21"/>
      <w:szCs w:val="21"/>
    </w:rPr>
  </w:style>
  <w:style w:type="paragraph" w:styleId="Heading4">
    <w:name w:val="heading 4"/>
    <w:basedOn w:val="Normal"/>
    <w:next w:val="Normal"/>
    <w:link w:val="Heading4Char"/>
    <w:uiPriority w:val="9"/>
    <w:unhideWhenUsed/>
    <w:qFormat/>
    <w:rsid w:val="00581431"/>
    <w:pPr>
      <w:keepNext/>
      <w:keepLines/>
      <w:widowControl/>
      <w:spacing w:before="200" w:line="288" w:lineRule="auto"/>
      <w:outlineLvl w:val="3"/>
    </w:pPr>
    <w:rPr>
      <w:rFonts w:asciiTheme="majorHAnsi" w:eastAsiaTheme="majorEastAsia" w:hAnsiTheme="majorHAnsi" w:cstheme="majorBidi"/>
      <w:b/>
      <w:bCs/>
      <w:i/>
      <w:iCs/>
      <w:color w:val="4F81BD"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431"/>
    <w:rPr>
      <w:rFonts w:ascii="Calibri" w:eastAsia="Times New Roman" w:hAnsi="Calibri" w:cs="Times New Roman"/>
      <w:b/>
      <w:bCs/>
      <w:kern w:val="32"/>
      <w:szCs w:val="32"/>
      <w:lang w:val="x-none"/>
    </w:rPr>
  </w:style>
  <w:style w:type="character" w:customStyle="1" w:styleId="Heading2Char">
    <w:name w:val="Heading 2 Char"/>
    <w:basedOn w:val="DefaultParagraphFont"/>
    <w:link w:val="Heading2"/>
    <w:uiPriority w:val="9"/>
    <w:rsid w:val="00581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1431"/>
    <w:rPr>
      <w:rFonts w:asciiTheme="majorHAnsi" w:eastAsiaTheme="majorEastAsia" w:hAnsiTheme="majorHAnsi" w:cstheme="majorBidi"/>
      <w:b/>
      <w:bCs/>
      <w:color w:val="4F81BD" w:themeColor="accent1"/>
      <w:sz w:val="21"/>
      <w:szCs w:val="21"/>
    </w:rPr>
  </w:style>
  <w:style w:type="character" w:customStyle="1" w:styleId="Heading4Char">
    <w:name w:val="Heading 4 Char"/>
    <w:basedOn w:val="DefaultParagraphFont"/>
    <w:link w:val="Heading4"/>
    <w:uiPriority w:val="9"/>
    <w:rsid w:val="00581431"/>
    <w:rPr>
      <w:rFonts w:asciiTheme="majorHAnsi" w:eastAsiaTheme="majorEastAsia" w:hAnsiTheme="majorHAnsi" w:cstheme="majorBidi"/>
      <w:b/>
      <w:bCs/>
      <w:i/>
      <w:iCs/>
      <w:color w:val="4F81BD" w:themeColor="accent1"/>
      <w:sz w:val="21"/>
      <w:szCs w:val="21"/>
    </w:rPr>
  </w:style>
  <w:style w:type="paragraph" w:styleId="BalloonText">
    <w:name w:val="Balloon Text"/>
    <w:basedOn w:val="Normal"/>
    <w:link w:val="BalloonTextChar"/>
    <w:uiPriority w:val="99"/>
    <w:semiHidden/>
    <w:unhideWhenUsed/>
    <w:rsid w:val="005814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431"/>
    <w:rPr>
      <w:rFonts w:ascii="Lucida Grande" w:eastAsia="Calibri" w:hAnsi="Lucida Grande" w:cs="Lucida Grande"/>
      <w:sz w:val="18"/>
      <w:szCs w:val="18"/>
    </w:rPr>
  </w:style>
  <w:style w:type="paragraph" w:styleId="ListParagraph">
    <w:name w:val="List Paragraph"/>
    <w:aliases w:val="References,Paragraphe  revu,Paragraphe de liste1,Bullets,List Paragraph1,Ha,Figures,List Paragraph (numbered (a)),lp1,lp11,List Paragraph11,Bullet 1,Use Case List Paragraph,Bulletted,Bullet List,FooterText,numbered,WB List Paragraph"/>
    <w:basedOn w:val="Normal"/>
    <w:link w:val="ListParagraphChar"/>
    <w:uiPriority w:val="34"/>
    <w:qFormat/>
    <w:rsid w:val="00581431"/>
    <w:pPr>
      <w:ind w:left="720"/>
      <w:contextualSpacing/>
    </w:pPr>
  </w:style>
  <w:style w:type="character" w:customStyle="1" w:styleId="ListParagraphChar">
    <w:name w:val="List Paragraph Char"/>
    <w:aliases w:val="References Char,Paragraphe  revu Char,Paragraphe de liste1 Char,Bullets Char,List Paragraph1 Char,Ha Char,Figures Char,List Paragraph (numbered (a)) Char,lp1 Char,lp11 Char,List Paragraph11 Char,Bullet 1 Char,Bulletted Char"/>
    <w:link w:val="ListParagraph"/>
    <w:uiPriority w:val="34"/>
    <w:locked/>
    <w:rsid w:val="00581431"/>
    <w:rPr>
      <w:rFonts w:ascii="Calibri" w:eastAsia="Calibri" w:hAnsi="Calibri" w:cs="Times New Roman"/>
      <w:sz w:val="22"/>
      <w:szCs w:val="22"/>
    </w:rPr>
  </w:style>
  <w:style w:type="paragraph" w:styleId="FootnoteText">
    <w:name w:val="footnote text"/>
    <w:basedOn w:val="Normal"/>
    <w:link w:val="FootnoteTextChar"/>
    <w:uiPriority w:val="99"/>
    <w:unhideWhenUsed/>
    <w:rsid w:val="00581431"/>
    <w:rPr>
      <w:sz w:val="24"/>
      <w:szCs w:val="24"/>
    </w:rPr>
  </w:style>
  <w:style w:type="character" w:customStyle="1" w:styleId="FootnoteTextChar">
    <w:name w:val="Footnote Text Char"/>
    <w:basedOn w:val="DefaultParagraphFont"/>
    <w:link w:val="FootnoteText"/>
    <w:uiPriority w:val="99"/>
    <w:rsid w:val="00581431"/>
    <w:rPr>
      <w:rFonts w:ascii="Calibri" w:eastAsia="Calibri" w:hAnsi="Calibri" w:cs="Times New Roman"/>
    </w:rPr>
  </w:style>
  <w:style w:type="character" w:styleId="FootnoteReference">
    <w:name w:val="footnote reference"/>
    <w:aliases w:val="ftref"/>
    <w:basedOn w:val="DefaultParagraphFont"/>
    <w:uiPriority w:val="99"/>
    <w:unhideWhenUsed/>
    <w:rsid w:val="00581431"/>
    <w:rPr>
      <w:vertAlign w:val="superscript"/>
    </w:rPr>
  </w:style>
  <w:style w:type="paragraph" w:styleId="Footer">
    <w:name w:val="footer"/>
    <w:basedOn w:val="Normal"/>
    <w:link w:val="FooterChar"/>
    <w:uiPriority w:val="99"/>
    <w:unhideWhenUsed/>
    <w:rsid w:val="00581431"/>
    <w:pPr>
      <w:tabs>
        <w:tab w:val="center" w:pos="4320"/>
        <w:tab w:val="right" w:pos="8640"/>
      </w:tabs>
    </w:pPr>
  </w:style>
  <w:style w:type="character" w:customStyle="1" w:styleId="FooterChar">
    <w:name w:val="Footer Char"/>
    <w:basedOn w:val="DefaultParagraphFont"/>
    <w:link w:val="Footer"/>
    <w:uiPriority w:val="99"/>
    <w:rsid w:val="00581431"/>
    <w:rPr>
      <w:rFonts w:ascii="Calibri" w:eastAsia="Calibri" w:hAnsi="Calibri" w:cs="Times New Roman"/>
      <w:sz w:val="22"/>
      <w:szCs w:val="22"/>
    </w:rPr>
  </w:style>
  <w:style w:type="character" w:styleId="PageNumber">
    <w:name w:val="page number"/>
    <w:basedOn w:val="DefaultParagraphFont"/>
    <w:uiPriority w:val="99"/>
    <w:semiHidden/>
    <w:unhideWhenUsed/>
    <w:rsid w:val="00581431"/>
  </w:style>
  <w:style w:type="paragraph" w:styleId="Header">
    <w:name w:val="header"/>
    <w:basedOn w:val="Normal"/>
    <w:link w:val="HeaderChar"/>
    <w:uiPriority w:val="99"/>
    <w:unhideWhenUsed/>
    <w:rsid w:val="00581431"/>
    <w:pPr>
      <w:widowControl/>
      <w:tabs>
        <w:tab w:val="center" w:pos="4680"/>
        <w:tab w:val="right" w:pos="9360"/>
      </w:tabs>
    </w:pPr>
    <w:rPr>
      <w:rFonts w:asciiTheme="minorHAnsi" w:eastAsiaTheme="minorEastAsia" w:hAnsiTheme="minorHAnsi" w:cstheme="minorBidi"/>
      <w:sz w:val="21"/>
      <w:szCs w:val="21"/>
    </w:rPr>
  </w:style>
  <w:style w:type="character" w:customStyle="1" w:styleId="HeaderChar">
    <w:name w:val="Header Char"/>
    <w:basedOn w:val="DefaultParagraphFont"/>
    <w:link w:val="Header"/>
    <w:uiPriority w:val="99"/>
    <w:rsid w:val="00581431"/>
    <w:rPr>
      <w:sz w:val="21"/>
      <w:szCs w:val="21"/>
    </w:rPr>
  </w:style>
  <w:style w:type="character" w:styleId="Hyperlink">
    <w:name w:val="Hyperlink"/>
    <w:basedOn w:val="DefaultParagraphFont"/>
    <w:uiPriority w:val="99"/>
    <w:unhideWhenUsed/>
    <w:rsid w:val="00581431"/>
    <w:rPr>
      <w:color w:val="0000FF" w:themeColor="hyperlink"/>
      <w:u w:val="single"/>
    </w:rPr>
  </w:style>
  <w:style w:type="character" w:styleId="CommentReference">
    <w:name w:val="annotation reference"/>
    <w:basedOn w:val="DefaultParagraphFont"/>
    <w:uiPriority w:val="99"/>
    <w:semiHidden/>
    <w:unhideWhenUsed/>
    <w:rsid w:val="00581431"/>
    <w:rPr>
      <w:sz w:val="16"/>
      <w:szCs w:val="16"/>
    </w:rPr>
  </w:style>
  <w:style w:type="paragraph" w:styleId="CommentText">
    <w:name w:val="annotation text"/>
    <w:basedOn w:val="Normal"/>
    <w:link w:val="CommentTextChar"/>
    <w:uiPriority w:val="99"/>
    <w:semiHidden/>
    <w:unhideWhenUsed/>
    <w:rsid w:val="00581431"/>
    <w:pPr>
      <w:widowControl/>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581431"/>
    <w:rPr>
      <w:sz w:val="20"/>
      <w:szCs w:val="20"/>
    </w:rPr>
  </w:style>
  <w:style w:type="character" w:customStyle="1" w:styleId="CommentSubjectChar">
    <w:name w:val="Comment Subject Char"/>
    <w:basedOn w:val="CommentTextChar"/>
    <w:link w:val="CommentSubject"/>
    <w:uiPriority w:val="99"/>
    <w:semiHidden/>
    <w:rsid w:val="00581431"/>
    <w:rPr>
      <w:b/>
      <w:bCs/>
      <w:sz w:val="20"/>
      <w:szCs w:val="20"/>
    </w:rPr>
  </w:style>
  <w:style w:type="paragraph" w:styleId="CommentSubject">
    <w:name w:val="annotation subject"/>
    <w:basedOn w:val="CommentText"/>
    <w:next w:val="CommentText"/>
    <w:link w:val="CommentSubjectChar"/>
    <w:uiPriority w:val="99"/>
    <w:semiHidden/>
    <w:unhideWhenUsed/>
    <w:rsid w:val="00581431"/>
    <w:rPr>
      <w:b/>
      <w:bCs/>
    </w:rPr>
  </w:style>
  <w:style w:type="paragraph" w:styleId="TOC1">
    <w:name w:val="toc 1"/>
    <w:basedOn w:val="Normal"/>
    <w:next w:val="Normal"/>
    <w:autoRedefine/>
    <w:uiPriority w:val="39"/>
    <w:unhideWhenUsed/>
    <w:rsid w:val="00581431"/>
    <w:pPr>
      <w:widowControl/>
      <w:tabs>
        <w:tab w:val="right" w:leader="dot" w:pos="9010"/>
      </w:tabs>
      <w:spacing w:before="40" w:after="40"/>
    </w:pPr>
    <w:rPr>
      <w:rFonts w:asciiTheme="minorHAnsi" w:eastAsiaTheme="minorEastAsia" w:hAnsiTheme="minorHAnsi" w:cstheme="minorBidi"/>
      <w:b/>
      <w:sz w:val="24"/>
      <w:szCs w:val="24"/>
    </w:rPr>
  </w:style>
  <w:style w:type="paragraph" w:styleId="TOC2">
    <w:name w:val="toc 2"/>
    <w:basedOn w:val="Normal"/>
    <w:next w:val="Normal"/>
    <w:autoRedefine/>
    <w:uiPriority w:val="39"/>
    <w:unhideWhenUsed/>
    <w:rsid w:val="00581431"/>
    <w:pPr>
      <w:widowControl/>
    </w:pPr>
    <w:rPr>
      <w:rFonts w:asciiTheme="minorHAnsi" w:eastAsiaTheme="minorEastAsia" w:hAnsiTheme="minorHAnsi" w:cstheme="minorBidi"/>
      <w:b/>
    </w:rPr>
  </w:style>
  <w:style w:type="paragraph" w:styleId="TOC3">
    <w:name w:val="toc 3"/>
    <w:basedOn w:val="Normal"/>
    <w:next w:val="Normal"/>
    <w:autoRedefine/>
    <w:uiPriority w:val="39"/>
    <w:unhideWhenUsed/>
    <w:rsid w:val="00581431"/>
    <w:pPr>
      <w:widowControl/>
      <w:spacing w:line="288" w:lineRule="auto"/>
      <w:ind w:left="420"/>
    </w:pPr>
    <w:rPr>
      <w:rFonts w:asciiTheme="minorHAnsi" w:eastAsiaTheme="minorEastAsia" w:hAnsiTheme="minorHAnsi" w:cstheme="minorBidi"/>
    </w:rPr>
  </w:style>
  <w:style w:type="paragraph" w:styleId="TOC4">
    <w:name w:val="toc 4"/>
    <w:basedOn w:val="Normal"/>
    <w:next w:val="Normal"/>
    <w:autoRedefine/>
    <w:uiPriority w:val="39"/>
    <w:unhideWhenUsed/>
    <w:rsid w:val="00581431"/>
    <w:pPr>
      <w:widowControl/>
      <w:spacing w:line="288" w:lineRule="auto"/>
      <w:ind w:left="630"/>
    </w:pPr>
    <w:rPr>
      <w:rFonts w:asciiTheme="minorHAnsi" w:eastAsiaTheme="minorEastAsia" w:hAnsiTheme="minorHAnsi" w:cstheme="minorBidi"/>
      <w:sz w:val="20"/>
      <w:szCs w:val="20"/>
    </w:rPr>
  </w:style>
  <w:style w:type="paragraph" w:styleId="TOC5">
    <w:name w:val="toc 5"/>
    <w:basedOn w:val="Normal"/>
    <w:next w:val="Normal"/>
    <w:autoRedefine/>
    <w:uiPriority w:val="39"/>
    <w:unhideWhenUsed/>
    <w:rsid w:val="00581431"/>
    <w:pPr>
      <w:widowControl/>
      <w:spacing w:line="288" w:lineRule="auto"/>
      <w:ind w:left="840"/>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581431"/>
    <w:pPr>
      <w:widowControl/>
      <w:spacing w:line="288" w:lineRule="auto"/>
      <w:ind w:left="1050"/>
    </w:pPr>
    <w:rPr>
      <w:rFonts w:asciiTheme="minorHAnsi" w:eastAsiaTheme="minorEastAsia" w:hAnsiTheme="minorHAnsi" w:cstheme="minorBidi"/>
      <w:sz w:val="20"/>
      <w:szCs w:val="20"/>
    </w:rPr>
  </w:style>
  <w:style w:type="paragraph" w:styleId="TOC7">
    <w:name w:val="toc 7"/>
    <w:basedOn w:val="Normal"/>
    <w:next w:val="Normal"/>
    <w:autoRedefine/>
    <w:uiPriority w:val="39"/>
    <w:unhideWhenUsed/>
    <w:rsid w:val="00581431"/>
    <w:pPr>
      <w:widowControl/>
      <w:spacing w:line="288" w:lineRule="auto"/>
      <w:ind w:left="1260"/>
    </w:pPr>
    <w:rPr>
      <w:rFonts w:asciiTheme="minorHAnsi" w:eastAsiaTheme="minorEastAsia" w:hAnsiTheme="minorHAnsi" w:cstheme="minorBidi"/>
      <w:sz w:val="20"/>
      <w:szCs w:val="20"/>
    </w:rPr>
  </w:style>
  <w:style w:type="paragraph" w:styleId="TOC8">
    <w:name w:val="toc 8"/>
    <w:basedOn w:val="Normal"/>
    <w:next w:val="Normal"/>
    <w:autoRedefine/>
    <w:uiPriority w:val="39"/>
    <w:unhideWhenUsed/>
    <w:rsid w:val="00581431"/>
    <w:pPr>
      <w:widowControl/>
      <w:spacing w:line="288" w:lineRule="auto"/>
      <w:ind w:left="1470"/>
    </w:pPr>
    <w:rPr>
      <w:rFonts w:asciiTheme="minorHAnsi" w:eastAsiaTheme="minorEastAsia" w:hAnsiTheme="minorHAnsi" w:cstheme="minorBidi"/>
      <w:sz w:val="20"/>
      <w:szCs w:val="20"/>
    </w:rPr>
  </w:style>
  <w:style w:type="paragraph" w:styleId="TOC9">
    <w:name w:val="toc 9"/>
    <w:basedOn w:val="Normal"/>
    <w:next w:val="Normal"/>
    <w:autoRedefine/>
    <w:uiPriority w:val="39"/>
    <w:unhideWhenUsed/>
    <w:rsid w:val="00581431"/>
    <w:pPr>
      <w:widowControl/>
      <w:spacing w:line="288" w:lineRule="auto"/>
      <w:ind w:left="1680"/>
    </w:pPr>
    <w:rPr>
      <w:rFonts w:asciiTheme="minorHAnsi" w:eastAsiaTheme="minorEastAsia" w:hAnsiTheme="minorHAnsi" w:cstheme="minorBidi"/>
      <w:sz w:val="20"/>
      <w:szCs w:val="20"/>
    </w:rPr>
  </w:style>
  <w:style w:type="character" w:styleId="Emphasis">
    <w:name w:val="Emphasis"/>
    <w:basedOn w:val="DefaultParagraphFont"/>
    <w:uiPriority w:val="20"/>
    <w:qFormat/>
    <w:rsid w:val="00581431"/>
    <w:rPr>
      <w:i/>
      <w:iCs/>
    </w:rPr>
  </w:style>
  <w:style w:type="paragraph" w:styleId="Caption">
    <w:name w:val="caption"/>
    <w:basedOn w:val="Normal"/>
    <w:next w:val="Normal"/>
    <w:link w:val="CaptionChar"/>
    <w:unhideWhenUsed/>
    <w:qFormat/>
    <w:rsid w:val="00581431"/>
    <w:pPr>
      <w:widowControl/>
      <w:spacing w:after="200"/>
    </w:pPr>
    <w:rPr>
      <w:rFonts w:asciiTheme="minorHAnsi" w:eastAsiaTheme="minorEastAsia" w:hAnsiTheme="minorHAnsi" w:cstheme="minorBidi"/>
      <w:b/>
      <w:bCs/>
      <w:color w:val="4F81BD" w:themeColor="accent1"/>
      <w:sz w:val="18"/>
      <w:szCs w:val="18"/>
    </w:rPr>
  </w:style>
  <w:style w:type="character" w:customStyle="1" w:styleId="CaptionChar">
    <w:name w:val="Caption Char"/>
    <w:link w:val="Caption"/>
    <w:rsid w:val="00581431"/>
    <w:rPr>
      <w:b/>
      <w:bCs/>
      <w:color w:val="4F81BD" w:themeColor="accent1"/>
      <w:sz w:val="18"/>
      <w:szCs w:val="18"/>
    </w:rPr>
  </w:style>
  <w:style w:type="paragraph" w:styleId="TableofFigures">
    <w:name w:val="table of figures"/>
    <w:basedOn w:val="Normal"/>
    <w:next w:val="Normal"/>
    <w:uiPriority w:val="99"/>
    <w:unhideWhenUsed/>
    <w:rsid w:val="00581431"/>
    <w:pPr>
      <w:widowControl/>
      <w:spacing w:line="288" w:lineRule="auto"/>
    </w:pPr>
    <w:rPr>
      <w:rFonts w:asciiTheme="minorHAnsi" w:eastAsiaTheme="minorEastAsia" w:hAnsiTheme="minorHAnsi" w:cstheme="minorBidi"/>
      <w:i/>
      <w:sz w:val="20"/>
      <w:szCs w:val="20"/>
    </w:rPr>
  </w:style>
  <w:style w:type="character" w:customStyle="1" w:styleId="BodyTextChar">
    <w:name w:val="Body Text Char"/>
    <w:basedOn w:val="DefaultParagraphFont"/>
    <w:link w:val="BodyText"/>
    <w:semiHidden/>
    <w:rsid w:val="00581431"/>
    <w:rPr>
      <w:rFonts w:ascii="Times New Roman" w:eastAsia="Times New Roman" w:hAnsi="Times New Roman" w:cs="Courier New"/>
      <w:b/>
      <w:bCs/>
      <w:szCs w:val="20"/>
      <w:lang w:val="en-AU"/>
    </w:rPr>
  </w:style>
  <w:style w:type="paragraph" w:styleId="BodyText">
    <w:name w:val="Body Text"/>
    <w:basedOn w:val="Normal"/>
    <w:link w:val="BodyTextChar"/>
    <w:semiHidden/>
    <w:rsid w:val="00581431"/>
    <w:pPr>
      <w:widowControl/>
    </w:pPr>
    <w:rPr>
      <w:rFonts w:ascii="Times New Roman" w:eastAsia="Times New Roman" w:hAnsi="Times New Roman" w:cs="Courier New"/>
      <w:b/>
      <w:bCs/>
      <w:sz w:val="24"/>
      <w:szCs w:val="20"/>
      <w:lang w:val="en-AU"/>
    </w:rPr>
  </w:style>
  <w:style w:type="character" w:customStyle="1" w:styleId="DocumentMapChar">
    <w:name w:val="Document Map Char"/>
    <w:basedOn w:val="DefaultParagraphFont"/>
    <w:link w:val="DocumentMap"/>
    <w:uiPriority w:val="99"/>
    <w:semiHidden/>
    <w:rsid w:val="00581431"/>
    <w:rPr>
      <w:rFonts w:ascii="Lucida Grande" w:hAnsi="Lucida Grande" w:cs="Lucida Grande"/>
    </w:rPr>
  </w:style>
  <w:style w:type="paragraph" w:styleId="DocumentMap">
    <w:name w:val="Document Map"/>
    <w:basedOn w:val="Normal"/>
    <w:link w:val="DocumentMapChar"/>
    <w:uiPriority w:val="99"/>
    <w:semiHidden/>
    <w:unhideWhenUsed/>
    <w:rsid w:val="00581431"/>
    <w:pPr>
      <w:widowControl/>
    </w:pPr>
    <w:rPr>
      <w:rFonts w:ascii="Lucida Grande" w:eastAsiaTheme="minorEastAsia" w:hAnsi="Lucida Grande" w:cs="Lucida Grande"/>
      <w:sz w:val="24"/>
      <w:szCs w:val="24"/>
    </w:rPr>
  </w:style>
  <w:style w:type="paragraph" w:customStyle="1" w:styleId="Figurehead">
    <w:name w:val="Figure head"/>
    <w:basedOn w:val="Caption"/>
    <w:link w:val="FigureheadChar"/>
    <w:qFormat/>
    <w:rsid w:val="00581431"/>
    <w:pPr>
      <w:spacing w:after="0"/>
    </w:pPr>
    <w:rPr>
      <w:rFonts w:ascii="Trebuchet MS" w:hAnsi="Trebuchet MS" w:cs="Times New Roman"/>
      <w:sz w:val="20"/>
      <w:szCs w:val="20"/>
      <w:lang w:val="en-US"/>
    </w:rPr>
  </w:style>
  <w:style w:type="character" w:customStyle="1" w:styleId="FigureheadChar">
    <w:name w:val="Figure head Char"/>
    <w:basedOn w:val="CaptionChar"/>
    <w:link w:val="Figurehead"/>
    <w:rsid w:val="00581431"/>
    <w:rPr>
      <w:rFonts w:ascii="Trebuchet MS" w:hAnsi="Trebuchet MS" w:cs="Times New Roman"/>
      <w:b/>
      <w:bCs/>
      <w:color w:val="4F81BD" w:themeColor="accent1"/>
      <w:sz w:val="20"/>
      <w:szCs w:val="20"/>
      <w:lang w:val="en-US"/>
    </w:rPr>
  </w:style>
  <w:style w:type="paragraph" w:customStyle="1" w:styleId="Tablehead">
    <w:name w:val="Table head"/>
    <w:basedOn w:val="Figurehead"/>
    <w:link w:val="TableheadChar"/>
    <w:qFormat/>
    <w:rsid w:val="00581431"/>
  </w:style>
  <w:style w:type="character" w:customStyle="1" w:styleId="TableheadChar">
    <w:name w:val="Table head Char"/>
    <w:basedOn w:val="CaptionChar"/>
    <w:link w:val="Tablehead"/>
    <w:rsid w:val="00581431"/>
    <w:rPr>
      <w:rFonts w:ascii="Trebuchet MS" w:hAnsi="Trebuchet MS" w:cs="Times New Roman"/>
      <w:b/>
      <w:bCs/>
      <w:color w:val="4F81BD" w:themeColor="accent1"/>
      <w:sz w:val="20"/>
      <w:szCs w:val="20"/>
      <w:lang w:val="en-US"/>
    </w:rPr>
  </w:style>
  <w:style w:type="paragraph" w:customStyle="1" w:styleId="Default">
    <w:name w:val="Default"/>
    <w:rsid w:val="00115517"/>
    <w:pPr>
      <w:widowControl w:val="0"/>
      <w:autoSpaceDE w:val="0"/>
      <w:autoSpaceDN w:val="0"/>
      <w:adjustRightInd w:val="0"/>
    </w:pPr>
    <w:rPr>
      <w:rFonts w:ascii="Trebuchet MS" w:hAnsi="Trebuchet MS" w:cs="Trebuchet MS"/>
      <w:color w:val="000000"/>
      <w:lang w:val="en-US"/>
    </w:rPr>
  </w:style>
  <w:style w:type="character" w:styleId="FollowedHyperlink">
    <w:name w:val="FollowedHyperlink"/>
    <w:basedOn w:val="DefaultParagraphFont"/>
    <w:uiPriority w:val="99"/>
    <w:semiHidden/>
    <w:unhideWhenUsed/>
    <w:rsid w:val="000C3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9847">
      <w:bodyDiv w:val="1"/>
      <w:marLeft w:val="0"/>
      <w:marRight w:val="0"/>
      <w:marTop w:val="0"/>
      <w:marBottom w:val="0"/>
      <w:divBdr>
        <w:top w:val="none" w:sz="0" w:space="0" w:color="auto"/>
        <w:left w:val="none" w:sz="0" w:space="0" w:color="auto"/>
        <w:bottom w:val="none" w:sz="0" w:space="0" w:color="auto"/>
        <w:right w:val="none" w:sz="0" w:space="0" w:color="auto"/>
      </w:divBdr>
    </w:div>
    <w:div w:id="267084674">
      <w:bodyDiv w:val="1"/>
      <w:marLeft w:val="0"/>
      <w:marRight w:val="0"/>
      <w:marTop w:val="0"/>
      <w:marBottom w:val="0"/>
      <w:divBdr>
        <w:top w:val="none" w:sz="0" w:space="0" w:color="auto"/>
        <w:left w:val="none" w:sz="0" w:space="0" w:color="auto"/>
        <w:bottom w:val="none" w:sz="0" w:space="0" w:color="auto"/>
        <w:right w:val="none" w:sz="0" w:space="0" w:color="auto"/>
      </w:divBdr>
    </w:div>
    <w:div w:id="396706418">
      <w:bodyDiv w:val="1"/>
      <w:marLeft w:val="0"/>
      <w:marRight w:val="0"/>
      <w:marTop w:val="0"/>
      <w:marBottom w:val="0"/>
      <w:divBdr>
        <w:top w:val="none" w:sz="0" w:space="0" w:color="auto"/>
        <w:left w:val="none" w:sz="0" w:space="0" w:color="auto"/>
        <w:bottom w:val="none" w:sz="0" w:space="0" w:color="auto"/>
        <w:right w:val="none" w:sz="0" w:space="0" w:color="auto"/>
      </w:divBdr>
    </w:div>
    <w:div w:id="438835613">
      <w:bodyDiv w:val="1"/>
      <w:marLeft w:val="0"/>
      <w:marRight w:val="0"/>
      <w:marTop w:val="0"/>
      <w:marBottom w:val="0"/>
      <w:divBdr>
        <w:top w:val="none" w:sz="0" w:space="0" w:color="auto"/>
        <w:left w:val="none" w:sz="0" w:space="0" w:color="auto"/>
        <w:bottom w:val="none" w:sz="0" w:space="0" w:color="auto"/>
        <w:right w:val="none" w:sz="0" w:space="0" w:color="auto"/>
      </w:divBdr>
    </w:div>
    <w:div w:id="553204273">
      <w:bodyDiv w:val="1"/>
      <w:marLeft w:val="0"/>
      <w:marRight w:val="0"/>
      <w:marTop w:val="0"/>
      <w:marBottom w:val="0"/>
      <w:divBdr>
        <w:top w:val="none" w:sz="0" w:space="0" w:color="auto"/>
        <w:left w:val="none" w:sz="0" w:space="0" w:color="auto"/>
        <w:bottom w:val="none" w:sz="0" w:space="0" w:color="auto"/>
        <w:right w:val="none" w:sz="0" w:space="0" w:color="auto"/>
      </w:divBdr>
    </w:div>
    <w:div w:id="705327753">
      <w:bodyDiv w:val="1"/>
      <w:marLeft w:val="0"/>
      <w:marRight w:val="0"/>
      <w:marTop w:val="0"/>
      <w:marBottom w:val="0"/>
      <w:divBdr>
        <w:top w:val="none" w:sz="0" w:space="0" w:color="auto"/>
        <w:left w:val="none" w:sz="0" w:space="0" w:color="auto"/>
        <w:bottom w:val="none" w:sz="0" w:space="0" w:color="auto"/>
        <w:right w:val="none" w:sz="0" w:space="0" w:color="auto"/>
      </w:divBdr>
    </w:div>
    <w:div w:id="822551799">
      <w:bodyDiv w:val="1"/>
      <w:marLeft w:val="0"/>
      <w:marRight w:val="0"/>
      <w:marTop w:val="0"/>
      <w:marBottom w:val="0"/>
      <w:divBdr>
        <w:top w:val="none" w:sz="0" w:space="0" w:color="auto"/>
        <w:left w:val="none" w:sz="0" w:space="0" w:color="auto"/>
        <w:bottom w:val="none" w:sz="0" w:space="0" w:color="auto"/>
        <w:right w:val="none" w:sz="0" w:space="0" w:color="auto"/>
      </w:divBdr>
    </w:div>
    <w:div w:id="1089546006">
      <w:bodyDiv w:val="1"/>
      <w:marLeft w:val="0"/>
      <w:marRight w:val="0"/>
      <w:marTop w:val="0"/>
      <w:marBottom w:val="0"/>
      <w:divBdr>
        <w:top w:val="none" w:sz="0" w:space="0" w:color="auto"/>
        <w:left w:val="none" w:sz="0" w:space="0" w:color="auto"/>
        <w:bottom w:val="none" w:sz="0" w:space="0" w:color="auto"/>
        <w:right w:val="none" w:sz="0" w:space="0" w:color="auto"/>
      </w:divBdr>
    </w:div>
    <w:div w:id="1344934615">
      <w:bodyDiv w:val="1"/>
      <w:marLeft w:val="0"/>
      <w:marRight w:val="0"/>
      <w:marTop w:val="0"/>
      <w:marBottom w:val="0"/>
      <w:divBdr>
        <w:top w:val="none" w:sz="0" w:space="0" w:color="auto"/>
        <w:left w:val="none" w:sz="0" w:space="0" w:color="auto"/>
        <w:bottom w:val="none" w:sz="0" w:space="0" w:color="auto"/>
        <w:right w:val="none" w:sz="0" w:space="0" w:color="auto"/>
      </w:divBdr>
    </w:div>
    <w:div w:id="1353799524">
      <w:bodyDiv w:val="1"/>
      <w:marLeft w:val="0"/>
      <w:marRight w:val="0"/>
      <w:marTop w:val="0"/>
      <w:marBottom w:val="0"/>
      <w:divBdr>
        <w:top w:val="none" w:sz="0" w:space="0" w:color="auto"/>
        <w:left w:val="none" w:sz="0" w:space="0" w:color="auto"/>
        <w:bottom w:val="none" w:sz="0" w:space="0" w:color="auto"/>
        <w:right w:val="none" w:sz="0" w:space="0" w:color="auto"/>
      </w:divBdr>
    </w:div>
    <w:div w:id="1508448791">
      <w:bodyDiv w:val="1"/>
      <w:marLeft w:val="0"/>
      <w:marRight w:val="0"/>
      <w:marTop w:val="0"/>
      <w:marBottom w:val="0"/>
      <w:divBdr>
        <w:top w:val="none" w:sz="0" w:space="0" w:color="auto"/>
        <w:left w:val="none" w:sz="0" w:space="0" w:color="auto"/>
        <w:bottom w:val="none" w:sz="0" w:space="0" w:color="auto"/>
        <w:right w:val="none" w:sz="0" w:space="0" w:color="auto"/>
      </w:divBdr>
    </w:div>
    <w:div w:id="1902935713">
      <w:bodyDiv w:val="1"/>
      <w:marLeft w:val="0"/>
      <w:marRight w:val="0"/>
      <w:marTop w:val="0"/>
      <w:marBottom w:val="0"/>
      <w:divBdr>
        <w:top w:val="none" w:sz="0" w:space="0" w:color="auto"/>
        <w:left w:val="none" w:sz="0" w:space="0" w:color="auto"/>
        <w:bottom w:val="none" w:sz="0" w:space="0" w:color="auto"/>
        <w:right w:val="none" w:sz="0" w:space="0" w:color="auto"/>
      </w:divBdr>
    </w:div>
    <w:div w:id="1906910142">
      <w:bodyDiv w:val="1"/>
      <w:marLeft w:val="0"/>
      <w:marRight w:val="0"/>
      <w:marTop w:val="0"/>
      <w:marBottom w:val="0"/>
      <w:divBdr>
        <w:top w:val="none" w:sz="0" w:space="0" w:color="auto"/>
        <w:left w:val="none" w:sz="0" w:space="0" w:color="auto"/>
        <w:bottom w:val="none" w:sz="0" w:space="0" w:color="auto"/>
        <w:right w:val="none" w:sz="0" w:space="0" w:color="auto"/>
      </w:divBdr>
    </w:div>
    <w:div w:id="1931549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hyperlink" Target="http://www.adeanet.org/en/system/files/post-2015_working_group_technical_meeting_report.pdf" TargetMode="External"/><Relationship Id="rId13" Type="http://schemas.openxmlformats.org/officeDocument/2006/relationships/hyperlink" Target="http://www.create-rpc.org/pdf_documents/Making-Rights-Realities-Keith-Lewin-September-2011.pdf" TargetMode="External"/><Relationship Id="rId14" Type="http://schemas.openxmlformats.org/officeDocument/2006/relationships/hyperlink" Target="http://www.create-rpc.org/pdf_documents/RevisedPost-2015WorkingGroupBackgroundPaperCommonwealthKL.pdf" TargetMode="External"/><Relationship Id="rId15" Type="http://schemas.openxmlformats.org/officeDocument/2006/relationships/hyperlink" Target="http://www.create-rpc.org/pdf_documents/CCEM18KeithLewinRevisitingtheIAGsSummary.pdf" TargetMode="External"/><Relationship Id="rId16" Type="http://schemas.openxmlformats.org/officeDocument/2006/relationships/hyperlink" Target="https://www.ukfiet.org/2018/learning-matters-and-the-world-development-report-2018/" TargetMode="External"/><Relationship Id="rId17" Type="http://schemas.openxmlformats.org/officeDocument/2006/relationships/hyperlink" Target="https://www.sdg4education2030.org/cheat-sheet-sdg4-indicators-12-july-2018" TargetMode="External"/><Relationship Id="rId18" Type="http://schemas.openxmlformats.org/officeDocument/2006/relationships/hyperlink" Target="http://uis.unesco.org/sites/default/files/documents/11-global-indicators-sdg4-cheat-sheet-2018-en.pdf"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content/documents/1681Dakar%20Framework%20for%20Action.pdf" TargetMode="External"/><Relationship Id="rId2" Type="http://schemas.openxmlformats.org/officeDocument/2006/relationships/hyperlink" Target="https://www.un.org/millennium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8176</Words>
  <Characters>45381</Characters>
  <Application>Microsoft Macintosh Word</Application>
  <DocSecurity>0</DocSecurity>
  <Lines>872</Lines>
  <Paragraphs>217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Introduction</vt:lpstr>
      <vt:lpstr>    Education in the Commonwealth </vt:lpstr>
      <vt:lpstr>    The Commonwealth Post 2015 Framework </vt:lpstr>
      <vt:lpstr>    The Commonwealth Framework for Education</vt:lpstr>
      <vt:lpstr>    The Commonwealth Framework and the SDGs</vt:lpstr>
      <vt:lpstr>    Opportunities for the Commonwealth Member States to Lead on the SDGs</vt:lpstr>
      <vt:lpstr>    A Programme for Action towards 2030</vt:lpstr>
      <vt:lpstr>    References </vt:lpstr>
    </vt:vector>
  </TitlesOfParts>
  <Manager/>
  <Company>CIE</Company>
  <LinksUpToDate>false</LinksUpToDate>
  <CharactersWithSpaces>53340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Lewin</dc:creator>
  <cp:keywords/>
  <dc:description/>
  <cp:lastModifiedBy>Keith Lewin</cp:lastModifiedBy>
  <cp:revision>2</cp:revision>
  <cp:lastPrinted>2019-05-30T11:24:00Z</cp:lastPrinted>
  <dcterms:created xsi:type="dcterms:W3CDTF">2019-07-01T09:44:00Z</dcterms:created>
  <dcterms:modified xsi:type="dcterms:W3CDTF">2019-07-01T09:44:00Z</dcterms:modified>
  <cp:category/>
</cp:coreProperties>
</file>